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Default Extension="gif" ContentType="image/gif"/>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E9A" w:rsidRDefault="006E6E9A" w:rsidP="00D74D3A">
      <w:pPr>
        <w:jc w:val="center"/>
        <w:rPr>
          <w:rFonts w:ascii="Verdana" w:hAnsi="Verdana"/>
          <w:b/>
          <w:color w:val="244061" w:themeColor="accent1" w:themeShade="80"/>
          <w:sz w:val="52"/>
          <w:szCs w:val="52"/>
        </w:rPr>
      </w:pPr>
    </w:p>
    <w:p w:rsidR="006E6E9A" w:rsidRDefault="006E6E9A" w:rsidP="00D74D3A">
      <w:pPr>
        <w:jc w:val="center"/>
        <w:rPr>
          <w:rFonts w:ascii="Verdana" w:hAnsi="Verdana"/>
          <w:b/>
          <w:color w:val="244061" w:themeColor="accent1" w:themeShade="80"/>
          <w:sz w:val="52"/>
          <w:szCs w:val="52"/>
        </w:rPr>
      </w:pPr>
    </w:p>
    <w:p w:rsidR="006E6E9A" w:rsidRDefault="006E6E9A" w:rsidP="00D74D3A">
      <w:pPr>
        <w:jc w:val="center"/>
        <w:rPr>
          <w:rFonts w:ascii="Verdana" w:hAnsi="Verdana"/>
          <w:b/>
          <w:color w:val="244061" w:themeColor="accent1" w:themeShade="80"/>
          <w:sz w:val="52"/>
          <w:szCs w:val="52"/>
        </w:rPr>
      </w:pPr>
    </w:p>
    <w:p w:rsidR="006E6E9A" w:rsidRDefault="006E6E9A" w:rsidP="00D74D3A">
      <w:pPr>
        <w:jc w:val="center"/>
        <w:rPr>
          <w:rFonts w:ascii="Verdana" w:hAnsi="Verdana"/>
          <w:b/>
          <w:color w:val="244061" w:themeColor="accent1" w:themeShade="80"/>
          <w:sz w:val="52"/>
          <w:szCs w:val="52"/>
        </w:rPr>
      </w:pPr>
    </w:p>
    <w:p w:rsidR="008D76EC" w:rsidRDefault="008D76EC" w:rsidP="00D74D3A">
      <w:pPr>
        <w:jc w:val="center"/>
        <w:rPr>
          <w:rFonts w:ascii="Verdana" w:hAnsi="Verdana"/>
          <w:b/>
          <w:color w:val="244061" w:themeColor="accent1" w:themeShade="80"/>
          <w:sz w:val="52"/>
          <w:szCs w:val="52"/>
        </w:rPr>
      </w:pPr>
      <w:r>
        <w:rPr>
          <w:rFonts w:ascii="Verdana" w:hAnsi="Verdana"/>
          <w:b/>
          <w:color w:val="244061" w:themeColor="accent1" w:themeShade="80"/>
          <w:sz w:val="52"/>
          <w:szCs w:val="52"/>
        </w:rPr>
        <w:t>Strategie r</w:t>
      </w:r>
      <w:r w:rsidR="00B50E8D" w:rsidRPr="00D74D3A">
        <w:rPr>
          <w:rFonts w:ascii="Verdana" w:hAnsi="Verdana"/>
          <w:b/>
          <w:color w:val="244061" w:themeColor="accent1" w:themeShade="80"/>
          <w:sz w:val="52"/>
          <w:szCs w:val="52"/>
        </w:rPr>
        <w:t>ozvoj</w:t>
      </w:r>
      <w:r>
        <w:rPr>
          <w:rFonts w:ascii="Verdana" w:hAnsi="Verdana"/>
          <w:b/>
          <w:color w:val="244061" w:themeColor="accent1" w:themeShade="80"/>
          <w:sz w:val="52"/>
          <w:szCs w:val="52"/>
        </w:rPr>
        <w:t>e</w:t>
      </w:r>
      <w:r w:rsidR="00B50E8D" w:rsidRPr="00D74D3A">
        <w:rPr>
          <w:rFonts w:ascii="Verdana" w:hAnsi="Verdana"/>
          <w:b/>
          <w:color w:val="244061" w:themeColor="accent1" w:themeShade="80"/>
          <w:sz w:val="52"/>
          <w:szCs w:val="52"/>
        </w:rPr>
        <w:t xml:space="preserve"> území MAS Litomyšlsko v letech </w:t>
      </w:r>
    </w:p>
    <w:p w:rsidR="00B50E8D" w:rsidRDefault="00B50E8D" w:rsidP="00D74D3A">
      <w:pPr>
        <w:jc w:val="center"/>
        <w:rPr>
          <w:rFonts w:ascii="Verdana" w:hAnsi="Verdana"/>
          <w:b/>
          <w:color w:val="244061" w:themeColor="accent1" w:themeShade="80"/>
          <w:sz w:val="52"/>
          <w:szCs w:val="52"/>
        </w:rPr>
      </w:pPr>
      <w:r w:rsidRPr="00D74D3A">
        <w:rPr>
          <w:rFonts w:ascii="Verdana" w:hAnsi="Verdana"/>
          <w:b/>
          <w:color w:val="244061" w:themeColor="accent1" w:themeShade="80"/>
          <w:sz w:val="52"/>
          <w:szCs w:val="52"/>
        </w:rPr>
        <w:t>2014 – 2020</w:t>
      </w:r>
    </w:p>
    <w:p w:rsidR="006E6E9A" w:rsidRDefault="006E6E9A" w:rsidP="00D74D3A">
      <w:pPr>
        <w:jc w:val="center"/>
        <w:rPr>
          <w:rFonts w:ascii="Verdana" w:hAnsi="Verdana"/>
          <w:b/>
          <w:color w:val="244061" w:themeColor="accent1" w:themeShade="80"/>
          <w:sz w:val="52"/>
          <w:szCs w:val="52"/>
        </w:rPr>
      </w:pPr>
    </w:p>
    <w:p w:rsidR="008D76EC" w:rsidRDefault="008D76EC" w:rsidP="00D74D3A">
      <w:pPr>
        <w:jc w:val="center"/>
        <w:rPr>
          <w:rFonts w:ascii="Verdana" w:hAnsi="Verdana"/>
          <w:b/>
          <w:color w:val="244061" w:themeColor="accent1" w:themeShade="80"/>
          <w:sz w:val="52"/>
          <w:szCs w:val="52"/>
        </w:rPr>
      </w:pPr>
    </w:p>
    <w:p w:rsidR="006E6E9A" w:rsidRPr="00D74D3A" w:rsidRDefault="006E6E9A" w:rsidP="00D74D3A">
      <w:pPr>
        <w:jc w:val="center"/>
        <w:rPr>
          <w:rFonts w:ascii="Verdana" w:hAnsi="Verdana"/>
          <w:b/>
          <w:color w:val="244061" w:themeColor="accent1" w:themeShade="80"/>
          <w:sz w:val="52"/>
          <w:szCs w:val="52"/>
        </w:rPr>
      </w:pPr>
      <w:r>
        <w:rPr>
          <w:rFonts w:ascii="Verdana" w:hAnsi="Verdana"/>
          <w:b/>
          <w:noProof/>
          <w:color w:val="244061" w:themeColor="accent1" w:themeShade="80"/>
          <w:sz w:val="52"/>
          <w:szCs w:val="52"/>
          <w:lang w:eastAsia="cs-CZ"/>
        </w:rPr>
        <w:drawing>
          <wp:inline distT="0" distB="0" distL="0" distR="0">
            <wp:extent cx="3209925" cy="1266825"/>
            <wp:effectExtent l="19050" t="0" r="9525" b="0"/>
            <wp:docPr id="39" name="obrázek 1" descr="C:\Users\lenovo\Documents\Ivona\Loga\Logo_CBZ_253x100_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Ivona\Loga\Logo_CBZ_253x100_stin.png"/>
                    <pic:cNvPicPr>
                      <a:picLocks noChangeAspect="1" noChangeArrowheads="1"/>
                    </pic:cNvPicPr>
                  </pic:nvPicPr>
                  <pic:blipFill>
                    <a:blip r:embed="rId8" cstate="print"/>
                    <a:srcRect/>
                    <a:stretch>
                      <a:fillRect/>
                    </a:stretch>
                  </pic:blipFill>
                  <pic:spPr bwMode="auto">
                    <a:xfrm>
                      <a:off x="0" y="0"/>
                      <a:ext cx="3209925" cy="1266825"/>
                    </a:xfrm>
                    <a:prstGeom prst="rect">
                      <a:avLst/>
                    </a:prstGeom>
                    <a:noFill/>
                    <a:ln w="9525">
                      <a:noFill/>
                      <a:miter lim="800000"/>
                      <a:headEnd/>
                      <a:tailEnd/>
                    </a:ln>
                  </pic:spPr>
                </pic:pic>
              </a:graphicData>
            </a:graphic>
          </wp:inline>
        </w:drawing>
      </w:r>
    </w:p>
    <w:sdt>
      <w:sdtPr>
        <w:rPr>
          <w:rFonts w:ascii="Arial Unicode MS" w:eastAsia="Times New Roman" w:hAnsi="Arial Unicode MS" w:cs="Times New Roman"/>
          <w:b w:val="0"/>
          <w:bCs w:val="0"/>
          <w:color w:val="auto"/>
          <w:sz w:val="22"/>
          <w:szCs w:val="24"/>
        </w:rPr>
        <w:id w:val="538071925"/>
        <w:docPartObj>
          <w:docPartGallery w:val="Table of Contents"/>
          <w:docPartUnique/>
        </w:docPartObj>
      </w:sdtPr>
      <w:sdtContent>
        <w:p w:rsidR="00187CA4" w:rsidRDefault="00187CA4">
          <w:pPr>
            <w:pStyle w:val="Nadpisobsahu"/>
          </w:pPr>
          <w:r>
            <w:t>Obsah</w:t>
          </w:r>
        </w:p>
        <w:p w:rsidR="00D53CB0" w:rsidRDefault="008D135B">
          <w:pPr>
            <w:pStyle w:val="Obsah1"/>
            <w:tabs>
              <w:tab w:val="left" w:pos="480"/>
              <w:tab w:val="right" w:leader="dot" w:pos="9062"/>
            </w:tabs>
            <w:rPr>
              <w:rFonts w:asciiTheme="minorHAnsi" w:eastAsiaTheme="minorEastAsia" w:hAnsiTheme="minorHAnsi" w:cstheme="minorBidi"/>
              <w:noProof/>
              <w:szCs w:val="22"/>
              <w:lang w:eastAsia="cs-CZ"/>
            </w:rPr>
          </w:pPr>
          <w:r>
            <w:fldChar w:fldCharType="begin"/>
          </w:r>
          <w:r w:rsidR="00187CA4">
            <w:instrText xml:space="preserve"> TOC \o "1-3" \h \z \u </w:instrText>
          </w:r>
          <w:r>
            <w:fldChar w:fldCharType="separate"/>
          </w:r>
          <w:hyperlink w:anchor="_Toc430006475" w:history="1">
            <w:r w:rsidR="00D53CB0" w:rsidRPr="0070792A">
              <w:rPr>
                <w:rStyle w:val="Hypertextovodkaz"/>
                <w:noProof/>
              </w:rPr>
              <w:t>1</w:t>
            </w:r>
            <w:r w:rsidR="00D53CB0">
              <w:rPr>
                <w:rFonts w:asciiTheme="minorHAnsi" w:eastAsiaTheme="minorEastAsia" w:hAnsiTheme="minorHAnsi" w:cstheme="minorBidi"/>
                <w:noProof/>
                <w:szCs w:val="22"/>
                <w:lang w:eastAsia="cs-CZ"/>
              </w:rPr>
              <w:tab/>
            </w:r>
            <w:r w:rsidR="00D53CB0" w:rsidRPr="0070792A">
              <w:rPr>
                <w:rStyle w:val="Hypertextovodkaz"/>
                <w:noProof/>
              </w:rPr>
              <w:t>Úvod s popisem základních informací</w:t>
            </w:r>
            <w:r w:rsidR="00D53CB0">
              <w:rPr>
                <w:noProof/>
                <w:webHidden/>
              </w:rPr>
              <w:tab/>
            </w:r>
            <w:r w:rsidR="00D53CB0">
              <w:rPr>
                <w:noProof/>
                <w:webHidden/>
              </w:rPr>
              <w:fldChar w:fldCharType="begin"/>
            </w:r>
            <w:r w:rsidR="00D53CB0">
              <w:rPr>
                <w:noProof/>
                <w:webHidden/>
              </w:rPr>
              <w:instrText xml:space="preserve"> PAGEREF _Toc430006475 \h </w:instrText>
            </w:r>
            <w:r w:rsidR="00D53CB0">
              <w:rPr>
                <w:noProof/>
                <w:webHidden/>
              </w:rPr>
            </w:r>
            <w:r w:rsidR="00D53CB0">
              <w:rPr>
                <w:noProof/>
                <w:webHidden/>
              </w:rPr>
              <w:fldChar w:fldCharType="separate"/>
            </w:r>
            <w:r w:rsidR="00D53CB0">
              <w:rPr>
                <w:noProof/>
                <w:webHidden/>
              </w:rPr>
              <w:t>6</w:t>
            </w:r>
            <w:r w:rsidR="00D53CB0">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76" w:history="1">
            <w:r w:rsidRPr="0070792A">
              <w:rPr>
                <w:rStyle w:val="Hypertextovodkaz"/>
                <w:noProof/>
              </w:rPr>
              <w:t>1.1</w:t>
            </w:r>
            <w:r>
              <w:rPr>
                <w:rFonts w:asciiTheme="minorHAnsi" w:eastAsiaTheme="minorEastAsia" w:hAnsiTheme="minorHAnsi" w:cstheme="minorBidi"/>
                <w:noProof/>
                <w:szCs w:val="22"/>
                <w:lang w:eastAsia="cs-CZ"/>
              </w:rPr>
              <w:tab/>
            </w:r>
            <w:r w:rsidRPr="0070792A">
              <w:rPr>
                <w:rStyle w:val="Hypertextovodkaz"/>
                <w:noProof/>
              </w:rPr>
              <w:t>Základní informace o MAS</w:t>
            </w:r>
            <w:r>
              <w:rPr>
                <w:noProof/>
                <w:webHidden/>
              </w:rPr>
              <w:tab/>
            </w:r>
            <w:r>
              <w:rPr>
                <w:noProof/>
                <w:webHidden/>
              </w:rPr>
              <w:fldChar w:fldCharType="begin"/>
            </w:r>
            <w:r>
              <w:rPr>
                <w:noProof/>
                <w:webHidden/>
              </w:rPr>
              <w:instrText xml:space="preserve"> PAGEREF _Toc430006476 \h </w:instrText>
            </w:r>
            <w:r>
              <w:rPr>
                <w:noProof/>
                <w:webHidden/>
              </w:rPr>
            </w:r>
            <w:r>
              <w:rPr>
                <w:noProof/>
                <w:webHidden/>
              </w:rPr>
              <w:fldChar w:fldCharType="separate"/>
            </w:r>
            <w:r>
              <w:rPr>
                <w:noProof/>
                <w:webHidden/>
              </w:rPr>
              <w:t>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77" w:history="1">
            <w:r w:rsidRPr="0070792A">
              <w:rPr>
                <w:rStyle w:val="Hypertextovodkaz"/>
                <w:noProof/>
              </w:rPr>
              <w:t>1.1.1</w:t>
            </w:r>
            <w:r>
              <w:rPr>
                <w:rFonts w:asciiTheme="minorHAnsi" w:eastAsiaTheme="minorEastAsia" w:hAnsiTheme="minorHAnsi" w:cstheme="minorBidi"/>
                <w:noProof/>
                <w:szCs w:val="22"/>
                <w:lang w:eastAsia="cs-CZ"/>
              </w:rPr>
              <w:tab/>
            </w:r>
            <w:r w:rsidRPr="0070792A">
              <w:rPr>
                <w:rStyle w:val="Hypertextovodkaz"/>
                <w:noProof/>
              </w:rPr>
              <w:t>Stručný popis území</w:t>
            </w:r>
            <w:r>
              <w:rPr>
                <w:noProof/>
                <w:webHidden/>
              </w:rPr>
              <w:tab/>
            </w:r>
            <w:r>
              <w:rPr>
                <w:noProof/>
                <w:webHidden/>
              </w:rPr>
              <w:fldChar w:fldCharType="begin"/>
            </w:r>
            <w:r>
              <w:rPr>
                <w:noProof/>
                <w:webHidden/>
              </w:rPr>
              <w:instrText xml:space="preserve"> PAGEREF _Toc430006477 \h </w:instrText>
            </w:r>
            <w:r>
              <w:rPr>
                <w:noProof/>
                <w:webHidden/>
              </w:rPr>
            </w:r>
            <w:r>
              <w:rPr>
                <w:noProof/>
                <w:webHidden/>
              </w:rPr>
              <w:fldChar w:fldCharType="separate"/>
            </w:r>
            <w:r>
              <w:rPr>
                <w:noProof/>
                <w:webHidden/>
              </w:rPr>
              <w:t>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78" w:history="1">
            <w:r w:rsidRPr="0070792A">
              <w:rPr>
                <w:rStyle w:val="Hypertextovodkaz"/>
                <w:noProof/>
              </w:rPr>
              <w:t>1.1.2</w:t>
            </w:r>
            <w:r>
              <w:rPr>
                <w:rFonts w:asciiTheme="minorHAnsi" w:eastAsiaTheme="minorEastAsia" w:hAnsiTheme="minorHAnsi" w:cstheme="minorBidi"/>
                <w:noProof/>
                <w:szCs w:val="22"/>
                <w:lang w:eastAsia="cs-CZ"/>
              </w:rPr>
              <w:tab/>
            </w:r>
            <w:r w:rsidRPr="0070792A">
              <w:rPr>
                <w:rStyle w:val="Hypertextovodkaz"/>
                <w:noProof/>
              </w:rPr>
              <w:t>Seskupení obcí v regionu</w:t>
            </w:r>
            <w:r>
              <w:rPr>
                <w:noProof/>
                <w:webHidden/>
              </w:rPr>
              <w:tab/>
            </w:r>
            <w:r>
              <w:rPr>
                <w:noProof/>
                <w:webHidden/>
              </w:rPr>
              <w:fldChar w:fldCharType="begin"/>
            </w:r>
            <w:r>
              <w:rPr>
                <w:noProof/>
                <w:webHidden/>
              </w:rPr>
              <w:instrText xml:space="preserve"> PAGEREF _Toc430006478 \h </w:instrText>
            </w:r>
            <w:r>
              <w:rPr>
                <w:noProof/>
                <w:webHidden/>
              </w:rPr>
            </w:r>
            <w:r>
              <w:rPr>
                <w:noProof/>
                <w:webHidden/>
              </w:rPr>
              <w:fldChar w:fldCharType="separate"/>
            </w:r>
            <w:r>
              <w:rPr>
                <w:noProof/>
                <w:webHidden/>
              </w:rPr>
              <w:t>10</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79" w:history="1">
            <w:r w:rsidRPr="0070792A">
              <w:rPr>
                <w:rStyle w:val="Hypertextovodkaz"/>
                <w:noProof/>
              </w:rPr>
              <w:t>1.1.3</w:t>
            </w:r>
            <w:r>
              <w:rPr>
                <w:rFonts w:asciiTheme="minorHAnsi" w:eastAsiaTheme="minorEastAsia" w:hAnsiTheme="minorHAnsi" w:cstheme="minorBidi"/>
                <w:noProof/>
                <w:szCs w:val="22"/>
                <w:lang w:eastAsia="cs-CZ"/>
              </w:rPr>
              <w:tab/>
            </w:r>
            <w:r w:rsidRPr="0070792A">
              <w:rPr>
                <w:rStyle w:val="Hypertextovodkaz"/>
                <w:noProof/>
              </w:rPr>
              <w:t>Identifikace právnické osoby a její orgány</w:t>
            </w:r>
            <w:r>
              <w:rPr>
                <w:noProof/>
                <w:webHidden/>
              </w:rPr>
              <w:tab/>
            </w:r>
            <w:r>
              <w:rPr>
                <w:noProof/>
                <w:webHidden/>
              </w:rPr>
              <w:fldChar w:fldCharType="begin"/>
            </w:r>
            <w:r>
              <w:rPr>
                <w:noProof/>
                <w:webHidden/>
              </w:rPr>
              <w:instrText xml:space="preserve"> PAGEREF _Toc430006479 \h </w:instrText>
            </w:r>
            <w:r>
              <w:rPr>
                <w:noProof/>
                <w:webHidden/>
              </w:rPr>
            </w:r>
            <w:r>
              <w:rPr>
                <w:noProof/>
                <w:webHidden/>
              </w:rPr>
              <w:fldChar w:fldCharType="separate"/>
            </w:r>
            <w:r>
              <w:rPr>
                <w:noProof/>
                <w:webHidden/>
              </w:rPr>
              <w:t>11</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0" w:history="1">
            <w:r w:rsidRPr="0070792A">
              <w:rPr>
                <w:rStyle w:val="Hypertextovodkaz"/>
                <w:noProof/>
              </w:rPr>
              <w:t>1.1.4</w:t>
            </w:r>
            <w:r>
              <w:rPr>
                <w:rFonts w:asciiTheme="minorHAnsi" w:eastAsiaTheme="minorEastAsia" w:hAnsiTheme="minorHAnsi" w:cstheme="minorBidi"/>
                <w:noProof/>
                <w:szCs w:val="22"/>
                <w:lang w:eastAsia="cs-CZ"/>
              </w:rPr>
              <w:tab/>
            </w:r>
            <w:r w:rsidRPr="0070792A">
              <w:rPr>
                <w:rStyle w:val="Hypertextovodkaz"/>
                <w:noProof/>
              </w:rPr>
              <w:t>Popis místního partnerství a jeho orgány</w:t>
            </w:r>
            <w:r>
              <w:rPr>
                <w:noProof/>
                <w:webHidden/>
              </w:rPr>
              <w:tab/>
            </w:r>
            <w:r>
              <w:rPr>
                <w:noProof/>
                <w:webHidden/>
              </w:rPr>
              <w:fldChar w:fldCharType="begin"/>
            </w:r>
            <w:r>
              <w:rPr>
                <w:noProof/>
                <w:webHidden/>
              </w:rPr>
              <w:instrText xml:space="preserve"> PAGEREF _Toc430006480 \h </w:instrText>
            </w:r>
            <w:r>
              <w:rPr>
                <w:noProof/>
                <w:webHidden/>
              </w:rPr>
            </w:r>
            <w:r>
              <w:rPr>
                <w:noProof/>
                <w:webHidden/>
              </w:rPr>
              <w:fldChar w:fldCharType="separate"/>
            </w:r>
            <w:r>
              <w:rPr>
                <w:noProof/>
                <w:webHidden/>
              </w:rPr>
              <w:t>16</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81" w:history="1">
            <w:r w:rsidRPr="0070792A">
              <w:rPr>
                <w:rStyle w:val="Hypertextovodkaz"/>
                <w:noProof/>
              </w:rPr>
              <w:t>1.2</w:t>
            </w:r>
            <w:r>
              <w:rPr>
                <w:rFonts w:asciiTheme="minorHAnsi" w:eastAsiaTheme="minorEastAsia" w:hAnsiTheme="minorHAnsi" w:cstheme="minorBidi"/>
                <w:noProof/>
                <w:szCs w:val="22"/>
                <w:lang w:eastAsia="cs-CZ"/>
              </w:rPr>
              <w:tab/>
            </w:r>
            <w:r w:rsidRPr="0070792A">
              <w:rPr>
                <w:rStyle w:val="Hypertextovodkaz"/>
                <w:noProof/>
              </w:rPr>
              <w:t>Historie MAS, zkušenosti s rozvojem území</w:t>
            </w:r>
            <w:r>
              <w:rPr>
                <w:noProof/>
                <w:webHidden/>
              </w:rPr>
              <w:tab/>
            </w:r>
            <w:r>
              <w:rPr>
                <w:noProof/>
                <w:webHidden/>
              </w:rPr>
              <w:fldChar w:fldCharType="begin"/>
            </w:r>
            <w:r>
              <w:rPr>
                <w:noProof/>
                <w:webHidden/>
              </w:rPr>
              <w:instrText xml:space="preserve"> PAGEREF _Toc430006481 \h </w:instrText>
            </w:r>
            <w:r>
              <w:rPr>
                <w:noProof/>
                <w:webHidden/>
              </w:rPr>
            </w:r>
            <w:r>
              <w:rPr>
                <w:noProof/>
                <w:webHidden/>
              </w:rPr>
              <w:fldChar w:fldCharType="separate"/>
            </w:r>
            <w:r>
              <w:rPr>
                <w:noProof/>
                <w:webHidden/>
              </w:rPr>
              <w:t>19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2" w:history="1">
            <w:r w:rsidRPr="0070792A">
              <w:rPr>
                <w:rStyle w:val="Hypertextovodkaz"/>
                <w:rFonts w:eastAsia="SymbolMT"/>
                <w:noProof/>
              </w:rPr>
              <w:t>1.2.1</w:t>
            </w:r>
            <w:r>
              <w:rPr>
                <w:rFonts w:asciiTheme="minorHAnsi" w:eastAsiaTheme="minorEastAsia" w:hAnsiTheme="minorHAnsi" w:cstheme="minorBidi"/>
                <w:noProof/>
                <w:szCs w:val="22"/>
                <w:lang w:eastAsia="cs-CZ"/>
              </w:rPr>
              <w:tab/>
            </w:r>
            <w:r w:rsidRPr="0070792A">
              <w:rPr>
                <w:rStyle w:val="Hypertextovodkaz"/>
                <w:rFonts w:eastAsia="SymbolMT"/>
                <w:noProof/>
              </w:rPr>
              <w:t>Historie a zkušenosti komunity před vznikem MAS Litomyšlsko o.p.s.</w:t>
            </w:r>
            <w:r>
              <w:rPr>
                <w:noProof/>
                <w:webHidden/>
              </w:rPr>
              <w:tab/>
            </w:r>
            <w:r>
              <w:rPr>
                <w:noProof/>
                <w:webHidden/>
              </w:rPr>
              <w:fldChar w:fldCharType="begin"/>
            </w:r>
            <w:r>
              <w:rPr>
                <w:noProof/>
                <w:webHidden/>
              </w:rPr>
              <w:instrText xml:space="preserve"> PAGEREF _Toc430006482 \h </w:instrText>
            </w:r>
            <w:r>
              <w:rPr>
                <w:noProof/>
                <w:webHidden/>
              </w:rPr>
            </w:r>
            <w:r>
              <w:rPr>
                <w:noProof/>
                <w:webHidden/>
              </w:rPr>
              <w:fldChar w:fldCharType="separate"/>
            </w:r>
            <w:r>
              <w:rPr>
                <w:noProof/>
                <w:webHidden/>
              </w:rPr>
              <w:t>19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3" w:history="1">
            <w:r w:rsidRPr="0070792A">
              <w:rPr>
                <w:rStyle w:val="Hypertextovodkaz"/>
                <w:rFonts w:eastAsia="SymbolMT"/>
                <w:noProof/>
              </w:rPr>
              <w:t>1.2.2</w:t>
            </w:r>
            <w:r>
              <w:rPr>
                <w:rFonts w:asciiTheme="minorHAnsi" w:eastAsiaTheme="minorEastAsia" w:hAnsiTheme="minorHAnsi" w:cstheme="minorBidi"/>
                <w:noProof/>
                <w:szCs w:val="22"/>
                <w:lang w:eastAsia="cs-CZ"/>
              </w:rPr>
              <w:tab/>
            </w:r>
            <w:r w:rsidRPr="0070792A">
              <w:rPr>
                <w:rStyle w:val="Hypertextovodkaz"/>
                <w:rFonts w:eastAsia="SymbolMT"/>
                <w:noProof/>
              </w:rPr>
              <w:t>Historie a zkušenosti MAS Litomyšlsko o.p.s.</w:t>
            </w:r>
            <w:r>
              <w:rPr>
                <w:noProof/>
                <w:webHidden/>
              </w:rPr>
              <w:tab/>
            </w:r>
            <w:r>
              <w:rPr>
                <w:noProof/>
                <w:webHidden/>
              </w:rPr>
              <w:fldChar w:fldCharType="begin"/>
            </w:r>
            <w:r>
              <w:rPr>
                <w:noProof/>
                <w:webHidden/>
              </w:rPr>
              <w:instrText xml:space="preserve"> PAGEREF _Toc430006483 \h </w:instrText>
            </w:r>
            <w:r>
              <w:rPr>
                <w:noProof/>
                <w:webHidden/>
              </w:rPr>
            </w:r>
            <w:r>
              <w:rPr>
                <w:noProof/>
                <w:webHidden/>
              </w:rPr>
              <w:fldChar w:fldCharType="separate"/>
            </w:r>
            <w:r>
              <w:rPr>
                <w:noProof/>
                <w:webHidden/>
              </w:rPr>
              <w:t>25</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84" w:history="1">
            <w:r w:rsidRPr="0070792A">
              <w:rPr>
                <w:rStyle w:val="Hypertextovodkaz"/>
                <w:noProof/>
              </w:rPr>
              <w:t>1.3</w:t>
            </w:r>
            <w:r>
              <w:rPr>
                <w:rFonts w:asciiTheme="minorHAnsi" w:eastAsiaTheme="minorEastAsia" w:hAnsiTheme="minorHAnsi" w:cstheme="minorBidi"/>
                <w:noProof/>
                <w:szCs w:val="22"/>
                <w:lang w:eastAsia="cs-CZ"/>
              </w:rPr>
              <w:tab/>
            </w:r>
            <w:r w:rsidRPr="0070792A">
              <w:rPr>
                <w:rStyle w:val="Hypertextovodkaz"/>
                <w:noProof/>
              </w:rPr>
              <w:t>Definování odpovědností za realizaci</w:t>
            </w:r>
            <w:r>
              <w:rPr>
                <w:noProof/>
                <w:webHidden/>
              </w:rPr>
              <w:tab/>
            </w:r>
            <w:r>
              <w:rPr>
                <w:noProof/>
                <w:webHidden/>
              </w:rPr>
              <w:fldChar w:fldCharType="begin"/>
            </w:r>
            <w:r>
              <w:rPr>
                <w:noProof/>
                <w:webHidden/>
              </w:rPr>
              <w:instrText xml:space="preserve"> PAGEREF _Toc430006484 \h </w:instrText>
            </w:r>
            <w:r>
              <w:rPr>
                <w:noProof/>
                <w:webHidden/>
              </w:rPr>
            </w:r>
            <w:r>
              <w:rPr>
                <w:noProof/>
                <w:webHidden/>
              </w:rPr>
              <w:fldChar w:fldCharType="separate"/>
            </w:r>
            <w:r>
              <w:rPr>
                <w:noProof/>
                <w:webHidden/>
              </w:rPr>
              <w:t>27</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85" w:history="1">
            <w:r w:rsidRPr="0070792A">
              <w:rPr>
                <w:rStyle w:val="Hypertextovodkaz"/>
                <w:noProof/>
              </w:rPr>
              <w:t>1.4</w:t>
            </w:r>
            <w:r>
              <w:rPr>
                <w:rFonts w:asciiTheme="minorHAnsi" w:eastAsiaTheme="minorEastAsia" w:hAnsiTheme="minorHAnsi" w:cstheme="minorBidi"/>
                <w:noProof/>
                <w:szCs w:val="22"/>
                <w:lang w:eastAsia="cs-CZ"/>
              </w:rPr>
              <w:tab/>
            </w:r>
            <w:r w:rsidRPr="0070792A">
              <w:rPr>
                <w:rStyle w:val="Hypertextovodkaz"/>
                <w:noProof/>
              </w:rPr>
              <w:t>Popis zapojení veřejnosti a členů místního partnerství</w:t>
            </w:r>
            <w:r>
              <w:rPr>
                <w:noProof/>
                <w:webHidden/>
              </w:rPr>
              <w:tab/>
            </w:r>
            <w:r>
              <w:rPr>
                <w:noProof/>
                <w:webHidden/>
              </w:rPr>
              <w:fldChar w:fldCharType="begin"/>
            </w:r>
            <w:r>
              <w:rPr>
                <w:noProof/>
                <w:webHidden/>
              </w:rPr>
              <w:instrText xml:space="preserve"> PAGEREF _Toc430006485 \h </w:instrText>
            </w:r>
            <w:r>
              <w:rPr>
                <w:noProof/>
                <w:webHidden/>
              </w:rPr>
            </w:r>
            <w:r>
              <w:rPr>
                <w:noProof/>
                <w:webHidden/>
              </w:rPr>
              <w:fldChar w:fldCharType="separate"/>
            </w:r>
            <w:r>
              <w:rPr>
                <w:noProof/>
                <w:webHidden/>
              </w:rPr>
              <w:t>27</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6" w:history="1">
            <w:r w:rsidRPr="0070792A">
              <w:rPr>
                <w:rStyle w:val="Hypertextovodkaz"/>
                <w:noProof/>
              </w:rPr>
              <w:t>1.4.1</w:t>
            </w:r>
            <w:r>
              <w:rPr>
                <w:rFonts w:asciiTheme="minorHAnsi" w:eastAsiaTheme="minorEastAsia" w:hAnsiTheme="minorHAnsi" w:cstheme="minorBidi"/>
                <w:noProof/>
                <w:szCs w:val="22"/>
                <w:lang w:eastAsia="cs-CZ"/>
              </w:rPr>
              <w:tab/>
            </w:r>
            <w:r w:rsidRPr="0070792A">
              <w:rPr>
                <w:rStyle w:val="Hypertextovodkaz"/>
                <w:noProof/>
              </w:rPr>
              <w:t>Expertní část</w:t>
            </w:r>
            <w:r>
              <w:rPr>
                <w:noProof/>
                <w:webHidden/>
              </w:rPr>
              <w:tab/>
            </w:r>
            <w:r>
              <w:rPr>
                <w:noProof/>
                <w:webHidden/>
              </w:rPr>
              <w:fldChar w:fldCharType="begin"/>
            </w:r>
            <w:r>
              <w:rPr>
                <w:noProof/>
                <w:webHidden/>
              </w:rPr>
              <w:instrText xml:space="preserve"> PAGEREF _Toc430006486 \h </w:instrText>
            </w:r>
            <w:r>
              <w:rPr>
                <w:noProof/>
                <w:webHidden/>
              </w:rPr>
            </w:r>
            <w:r>
              <w:rPr>
                <w:noProof/>
                <w:webHidden/>
              </w:rPr>
              <w:fldChar w:fldCharType="separate"/>
            </w:r>
            <w:r>
              <w:rPr>
                <w:noProof/>
                <w:webHidden/>
              </w:rPr>
              <w:t>28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7" w:history="1">
            <w:r w:rsidRPr="0070792A">
              <w:rPr>
                <w:rStyle w:val="Hypertextovodkaz"/>
                <w:noProof/>
              </w:rPr>
              <w:t>1.4.2</w:t>
            </w:r>
            <w:r>
              <w:rPr>
                <w:rFonts w:asciiTheme="minorHAnsi" w:eastAsiaTheme="minorEastAsia" w:hAnsiTheme="minorHAnsi" w:cstheme="minorBidi"/>
                <w:noProof/>
                <w:szCs w:val="22"/>
                <w:lang w:eastAsia="cs-CZ"/>
              </w:rPr>
              <w:tab/>
            </w:r>
            <w:r w:rsidRPr="0070792A">
              <w:rPr>
                <w:rStyle w:val="Hypertextovodkaz"/>
                <w:noProof/>
              </w:rPr>
              <w:t>Participativní část</w:t>
            </w:r>
            <w:r>
              <w:rPr>
                <w:noProof/>
                <w:webHidden/>
              </w:rPr>
              <w:tab/>
            </w:r>
            <w:r>
              <w:rPr>
                <w:noProof/>
                <w:webHidden/>
              </w:rPr>
              <w:fldChar w:fldCharType="begin"/>
            </w:r>
            <w:r>
              <w:rPr>
                <w:noProof/>
                <w:webHidden/>
              </w:rPr>
              <w:instrText xml:space="preserve"> PAGEREF _Toc430006487 \h </w:instrText>
            </w:r>
            <w:r>
              <w:rPr>
                <w:noProof/>
                <w:webHidden/>
              </w:rPr>
            </w:r>
            <w:r>
              <w:rPr>
                <w:noProof/>
                <w:webHidden/>
              </w:rPr>
              <w:fldChar w:fldCharType="separate"/>
            </w:r>
            <w:r>
              <w:rPr>
                <w:noProof/>
                <w:webHidden/>
              </w:rPr>
              <w:t>28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88" w:history="1">
            <w:r w:rsidRPr="0070792A">
              <w:rPr>
                <w:rStyle w:val="Hypertextovodkaz"/>
                <w:noProof/>
              </w:rPr>
              <w:t>1.4.3</w:t>
            </w:r>
            <w:r>
              <w:rPr>
                <w:rFonts w:asciiTheme="minorHAnsi" w:eastAsiaTheme="minorEastAsia" w:hAnsiTheme="minorHAnsi" w:cstheme="minorBidi"/>
                <w:noProof/>
                <w:szCs w:val="22"/>
                <w:lang w:eastAsia="cs-CZ"/>
              </w:rPr>
              <w:tab/>
            </w:r>
            <w:r w:rsidRPr="0070792A">
              <w:rPr>
                <w:rStyle w:val="Hypertextovodkaz"/>
                <w:noProof/>
              </w:rPr>
              <w:t>Zapojení široké komunity</w:t>
            </w:r>
            <w:r>
              <w:rPr>
                <w:noProof/>
                <w:webHidden/>
              </w:rPr>
              <w:tab/>
            </w:r>
            <w:r>
              <w:rPr>
                <w:noProof/>
                <w:webHidden/>
              </w:rPr>
              <w:fldChar w:fldCharType="begin"/>
            </w:r>
            <w:r>
              <w:rPr>
                <w:noProof/>
                <w:webHidden/>
              </w:rPr>
              <w:instrText xml:space="preserve"> PAGEREF _Toc430006488 \h </w:instrText>
            </w:r>
            <w:r>
              <w:rPr>
                <w:noProof/>
                <w:webHidden/>
              </w:rPr>
            </w:r>
            <w:r>
              <w:rPr>
                <w:noProof/>
                <w:webHidden/>
              </w:rPr>
              <w:fldChar w:fldCharType="separate"/>
            </w:r>
            <w:r>
              <w:rPr>
                <w:noProof/>
                <w:webHidden/>
              </w:rPr>
              <w:t>28</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89" w:history="1">
            <w:r w:rsidRPr="0070792A">
              <w:rPr>
                <w:rStyle w:val="Hypertextovodkaz"/>
                <w:noProof/>
              </w:rPr>
              <w:t>1.5</w:t>
            </w:r>
            <w:r>
              <w:rPr>
                <w:rFonts w:asciiTheme="minorHAnsi" w:eastAsiaTheme="minorEastAsia" w:hAnsiTheme="minorHAnsi" w:cstheme="minorBidi"/>
                <w:noProof/>
                <w:szCs w:val="22"/>
                <w:lang w:eastAsia="cs-CZ"/>
              </w:rPr>
              <w:tab/>
            </w:r>
            <w:r w:rsidRPr="0070792A">
              <w:rPr>
                <w:rStyle w:val="Hypertextovodkaz"/>
                <w:noProof/>
              </w:rPr>
              <w:t>Přehled členů týmu pro přípravu a zpracování strategie.</w:t>
            </w:r>
            <w:r>
              <w:rPr>
                <w:noProof/>
                <w:webHidden/>
              </w:rPr>
              <w:tab/>
            </w:r>
            <w:r>
              <w:rPr>
                <w:noProof/>
                <w:webHidden/>
              </w:rPr>
              <w:fldChar w:fldCharType="begin"/>
            </w:r>
            <w:r>
              <w:rPr>
                <w:noProof/>
                <w:webHidden/>
              </w:rPr>
              <w:instrText xml:space="preserve"> PAGEREF _Toc430006489 \h </w:instrText>
            </w:r>
            <w:r>
              <w:rPr>
                <w:noProof/>
                <w:webHidden/>
              </w:rPr>
            </w:r>
            <w:r>
              <w:rPr>
                <w:noProof/>
                <w:webHidden/>
              </w:rPr>
              <w:fldChar w:fldCharType="separate"/>
            </w:r>
            <w:r>
              <w:rPr>
                <w:noProof/>
                <w:webHidden/>
              </w:rPr>
              <w:t>31</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90" w:history="1">
            <w:r w:rsidRPr="0070792A">
              <w:rPr>
                <w:rStyle w:val="Hypertextovodkaz"/>
                <w:noProof/>
              </w:rPr>
              <w:t>1.6</w:t>
            </w:r>
            <w:r>
              <w:rPr>
                <w:rFonts w:asciiTheme="minorHAnsi" w:eastAsiaTheme="minorEastAsia" w:hAnsiTheme="minorHAnsi" w:cstheme="minorBidi"/>
                <w:noProof/>
                <w:szCs w:val="22"/>
                <w:lang w:eastAsia="cs-CZ"/>
              </w:rPr>
              <w:tab/>
            </w:r>
            <w:r w:rsidRPr="0070792A">
              <w:rPr>
                <w:rStyle w:val="Hypertextovodkaz"/>
                <w:noProof/>
              </w:rPr>
              <w:t>Popis způsobu vyhodnocování ISÚ</w:t>
            </w:r>
            <w:r>
              <w:rPr>
                <w:noProof/>
                <w:webHidden/>
              </w:rPr>
              <w:tab/>
            </w:r>
            <w:r>
              <w:rPr>
                <w:noProof/>
                <w:webHidden/>
              </w:rPr>
              <w:fldChar w:fldCharType="begin"/>
            </w:r>
            <w:r>
              <w:rPr>
                <w:noProof/>
                <w:webHidden/>
              </w:rPr>
              <w:instrText xml:space="preserve"> PAGEREF _Toc430006490 \h </w:instrText>
            </w:r>
            <w:r>
              <w:rPr>
                <w:noProof/>
                <w:webHidden/>
              </w:rPr>
            </w:r>
            <w:r>
              <w:rPr>
                <w:noProof/>
                <w:webHidden/>
              </w:rPr>
              <w:fldChar w:fldCharType="separate"/>
            </w:r>
            <w:r>
              <w:rPr>
                <w:noProof/>
                <w:webHidden/>
              </w:rPr>
              <w:t>31</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1" w:history="1">
            <w:r w:rsidRPr="0070792A">
              <w:rPr>
                <w:rStyle w:val="Hypertextovodkaz"/>
                <w:noProof/>
              </w:rPr>
              <w:t>1.6.1</w:t>
            </w:r>
            <w:r>
              <w:rPr>
                <w:rFonts w:asciiTheme="minorHAnsi" w:eastAsiaTheme="minorEastAsia" w:hAnsiTheme="minorHAnsi" w:cstheme="minorBidi"/>
                <w:noProof/>
                <w:szCs w:val="22"/>
                <w:lang w:eastAsia="cs-CZ"/>
              </w:rPr>
              <w:tab/>
            </w:r>
            <w:r w:rsidRPr="0070792A">
              <w:rPr>
                <w:rStyle w:val="Hypertextovodkaz"/>
                <w:noProof/>
              </w:rPr>
              <w:t>Monitoring realizace projektů</w:t>
            </w:r>
            <w:r>
              <w:rPr>
                <w:noProof/>
                <w:webHidden/>
              </w:rPr>
              <w:tab/>
            </w:r>
            <w:r>
              <w:rPr>
                <w:noProof/>
                <w:webHidden/>
              </w:rPr>
              <w:fldChar w:fldCharType="begin"/>
            </w:r>
            <w:r>
              <w:rPr>
                <w:noProof/>
                <w:webHidden/>
              </w:rPr>
              <w:instrText xml:space="preserve"> PAGEREF _Toc430006491 \h </w:instrText>
            </w:r>
            <w:r>
              <w:rPr>
                <w:noProof/>
                <w:webHidden/>
              </w:rPr>
            </w:r>
            <w:r>
              <w:rPr>
                <w:noProof/>
                <w:webHidden/>
              </w:rPr>
              <w:fldChar w:fldCharType="separate"/>
            </w:r>
            <w:r>
              <w:rPr>
                <w:noProof/>
                <w:webHidden/>
              </w:rPr>
              <w:t>32</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2" w:history="1">
            <w:r w:rsidRPr="0070792A">
              <w:rPr>
                <w:rStyle w:val="Hypertextovodkaz"/>
                <w:noProof/>
              </w:rPr>
              <w:t>1.6.2</w:t>
            </w:r>
            <w:r>
              <w:rPr>
                <w:rFonts w:asciiTheme="minorHAnsi" w:eastAsiaTheme="minorEastAsia" w:hAnsiTheme="minorHAnsi" w:cstheme="minorBidi"/>
                <w:noProof/>
                <w:szCs w:val="22"/>
                <w:lang w:eastAsia="cs-CZ"/>
              </w:rPr>
              <w:tab/>
            </w:r>
            <w:r w:rsidRPr="0070792A">
              <w:rPr>
                <w:rStyle w:val="Hypertextovodkaz"/>
                <w:noProof/>
              </w:rPr>
              <w:t>Monitoring v době udržitelnosti</w:t>
            </w:r>
            <w:r>
              <w:rPr>
                <w:noProof/>
                <w:webHidden/>
              </w:rPr>
              <w:tab/>
            </w:r>
            <w:r>
              <w:rPr>
                <w:noProof/>
                <w:webHidden/>
              </w:rPr>
              <w:fldChar w:fldCharType="begin"/>
            </w:r>
            <w:r>
              <w:rPr>
                <w:noProof/>
                <w:webHidden/>
              </w:rPr>
              <w:instrText xml:space="preserve"> PAGEREF _Toc430006492 \h </w:instrText>
            </w:r>
            <w:r>
              <w:rPr>
                <w:noProof/>
                <w:webHidden/>
              </w:rPr>
            </w:r>
            <w:r>
              <w:rPr>
                <w:noProof/>
                <w:webHidden/>
              </w:rPr>
              <w:fldChar w:fldCharType="separate"/>
            </w:r>
            <w:r>
              <w:rPr>
                <w:noProof/>
                <w:webHidden/>
              </w:rPr>
              <w:t>32</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3" w:history="1">
            <w:r w:rsidRPr="0070792A">
              <w:rPr>
                <w:rStyle w:val="Hypertextovodkaz"/>
                <w:noProof/>
              </w:rPr>
              <w:t>1.6.3</w:t>
            </w:r>
            <w:r>
              <w:rPr>
                <w:rFonts w:asciiTheme="minorHAnsi" w:eastAsiaTheme="minorEastAsia" w:hAnsiTheme="minorHAnsi" w:cstheme="minorBidi"/>
                <w:noProof/>
                <w:szCs w:val="22"/>
                <w:lang w:eastAsia="cs-CZ"/>
              </w:rPr>
              <w:tab/>
            </w:r>
            <w:r w:rsidRPr="0070792A">
              <w:rPr>
                <w:rStyle w:val="Hypertextovodkaz"/>
                <w:noProof/>
              </w:rPr>
              <w:t>Souhrnný monitoring projektů (evaluace)</w:t>
            </w:r>
            <w:r>
              <w:rPr>
                <w:noProof/>
                <w:webHidden/>
              </w:rPr>
              <w:tab/>
            </w:r>
            <w:r>
              <w:rPr>
                <w:noProof/>
                <w:webHidden/>
              </w:rPr>
              <w:fldChar w:fldCharType="begin"/>
            </w:r>
            <w:r>
              <w:rPr>
                <w:noProof/>
                <w:webHidden/>
              </w:rPr>
              <w:instrText xml:space="preserve"> PAGEREF _Toc430006493 \h </w:instrText>
            </w:r>
            <w:r>
              <w:rPr>
                <w:noProof/>
                <w:webHidden/>
              </w:rPr>
            </w:r>
            <w:r>
              <w:rPr>
                <w:noProof/>
                <w:webHidden/>
              </w:rPr>
              <w:fldChar w:fldCharType="separate"/>
            </w:r>
            <w:r>
              <w:rPr>
                <w:noProof/>
                <w:webHidden/>
              </w:rPr>
              <w:t>33</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494" w:history="1">
            <w:r w:rsidRPr="0070792A">
              <w:rPr>
                <w:rStyle w:val="Hypertextovodkaz"/>
                <w:noProof/>
              </w:rPr>
              <w:t>2</w:t>
            </w:r>
            <w:r>
              <w:rPr>
                <w:rFonts w:asciiTheme="minorHAnsi" w:eastAsiaTheme="minorEastAsia" w:hAnsiTheme="minorHAnsi" w:cstheme="minorBidi"/>
                <w:noProof/>
                <w:szCs w:val="22"/>
                <w:lang w:eastAsia="cs-CZ"/>
              </w:rPr>
              <w:tab/>
            </w:r>
            <w:r w:rsidRPr="0070792A">
              <w:rPr>
                <w:rStyle w:val="Hypertextovodkaz"/>
                <w:noProof/>
              </w:rPr>
              <w:t>Analytická část</w:t>
            </w:r>
            <w:r>
              <w:rPr>
                <w:noProof/>
                <w:webHidden/>
              </w:rPr>
              <w:tab/>
            </w:r>
            <w:r>
              <w:rPr>
                <w:noProof/>
                <w:webHidden/>
              </w:rPr>
              <w:fldChar w:fldCharType="begin"/>
            </w:r>
            <w:r>
              <w:rPr>
                <w:noProof/>
                <w:webHidden/>
              </w:rPr>
              <w:instrText xml:space="preserve"> PAGEREF _Toc430006494 \h </w:instrText>
            </w:r>
            <w:r>
              <w:rPr>
                <w:noProof/>
                <w:webHidden/>
              </w:rPr>
            </w:r>
            <w:r>
              <w:rPr>
                <w:noProof/>
                <w:webHidden/>
              </w:rPr>
              <w:fldChar w:fldCharType="separate"/>
            </w:r>
            <w:r>
              <w:rPr>
                <w:noProof/>
                <w:webHidden/>
              </w:rPr>
              <w:t>34</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495" w:history="1">
            <w:r w:rsidRPr="0070792A">
              <w:rPr>
                <w:rStyle w:val="Hypertextovodkaz"/>
                <w:noProof/>
              </w:rPr>
              <w:t>2.1</w:t>
            </w:r>
            <w:r>
              <w:rPr>
                <w:rFonts w:asciiTheme="minorHAnsi" w:eastAsiaTheme="minorEastAsia" w:hAnsiTheme="minorHAnsi" w:cstheme="minorBidi"/>
                <w:noProof/>
                <w:szCs w:val="22"/>
                <w:lang w:eastAsia="cs-CZ"/>
              </w:rPr>
              <w:tab/>
            </w:r>
            <w:r w:rsidRPr="0070792A">
              <w:rPr>
                <w:rStyle w:val="Hypertextovodkaz"/>
                <w:noProof/>
              </w:rPr>
              <w:t>Vyhodnocení území</w:t>
            </w:r>
            <w:r>
              <w:rPr>
                <w:noProof/>
                <w:webHidden/>
              </w:rPr>
              <w:tab/>
            </w:r>
            <w:r>
              <w:rPr>
                <w:noProof/>
                <w:webHidden/>
              </w:rPr>
              <w:fldChar w:fldCharType="begin"/>
            </w:r>
            <w:r>
              <w:rPr>
                <w:noProof/>
                <w:webHidden/>
              </w:rPr>
              <w:instrText xml:space="preserve"> PAGEREF _Toc430006495 \h </w:instrText>
            </w:r>
            <w:r>
              <w:rPr>
                <w:noProof/>
                <w:webHidden/>
              </w:rPr>
            </w:r>
            <w:r>
              <w:rPr>
                <w:noProof/>
                <w:webHidden/>
              </w:rPr>
              <w:fldChar w:fldCharType="separate"/>
            </w:r>
            <w:r>
              <w:rPr>
                <w:noProof/>
                <w:webHidden/>
              </w:rPr>
              <w:t>34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6" w:history="1">
            <w:r w:rsidRPr="0070792A">
              <w:rPr>
                <w:rStyle w:val="Hypertextovodkaz"/>
                <w:noProof/>
              </w:rPr>
              <w:t>2.1.1</w:t>
            </w:r>
            <w:r>
              <w:rPr>
                <w:rFonts w:asciiTheme="minorHAnsi" w:eastAsiaTheme="minorEastAsia" w:hAnsiTheme="minorHAnsi" w:cstheme="minorBidi"/>
                <w:noProof/>
                <w:szCs w:val="22"/>
                <w:lang w:eastAsia="cs-CZ"/>
              </w:rPr>
              <w:tab/>
            </w:r>
            <w:r w:rsidRPr="0070792A">
              <w:rPr>
                <w:rStyle w:val="Hypertextovodkaz"/>
                <w:noProof/>
              </w:rPr>
              <w:t>Obyvatelstvo</w:t>
            </w:r>
            <w:r>
              <w:rPr>
                <w:noProof/>
                <w:webHidden/>
              </w:rPr>
              <w:tab/>
            </w:r>
            <w:r>
              <w:rPr>
                <w:noProof/>
                <w:webHidden/>
              </w:rPr>
              <w:fldChar w:fldCharType="begin"/>
            </w:r>
            <w:r>
              <w:rPr>
                <w:noProof/>
                <w:webHidden/>
              </w:rPr>
              <w:instrText xml:space="preserve"> PAGEREF _Toc430006496 \h </w:instrText>
            </w:r>
            <w:r>
              <w:rPr>
                <w:noProof/>
                <w:webHidden/>
              </w:rPr>
            </w:r>
            <w:r>
              <w:rPr>
                <w:noProof/>
                <w:webHidden/>
              </w:rPr>
              <w:fldChar w:fldCharType="separate"/>
            </w:r>
            <w:r>
              <w:rPr>
                <w:noProof/>
                <w:webHidden/>
              </w:rPr>
              <w:t>34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7" w:history="1">
            <w:r w:rsidRPr="0070792A">
              <w:rPr>
                <w:rStyle w:val="Hypertextovodkaz"/>
                <w:noProof/>
              </w:rPr>
              <w:t>2.1.2</w:t>
            </w:r>
            <w:r>
              <w:rPr>
                <w:rFonts w:asciiTheme="minorHAnsi" w:eastAsiaTheme="minorEastAsia" w:hAnsiTheme="minorHAnsi" w:cstheme="minorBidi"/>
                <w:noProof/>
                <w:szCs w:val="22"/>
                <w:lang w:eastAsia="cs-CZ"/>
              </w:rPr>
              <w:tab/>
            </w:r>
            <w:r w:rsidRPr="0070792A">
              <w:rPr>
                <w:rStyle w:val="Hypertextovodkaz"/>
                <w:noProof/>
              </w:rPr>
              <w:t>Technická infrastruktura</w:t>
            </w:r>
            <w:r>
              <w:rPr>
                <w:noProof/>
                <w:webHidden/>
              </w:rPr>
              <w:tab/>
            </w:r>
            <w:r>
              <w:rPr>
                <w:noProof/>
                <w:webHidden/>
              </w:rPr>
              <w:fldChar w:fldCharType="begin"/>
            </w:r>
            <w:r>
              <w:rPr>
                <w:noProof/>
                <w:webHidden/>
              </w:rPr>
              <w:instrText xml:space="preserve"> PAGEREF _Toc430006497 \h </w:instrText>
            </w:r>
            <w:r>
              <w:rPr>
                <w:noProof/>
                <w:webHidden/>
              </w:rPr>
            </w:r>
            <w:r>
              <w:rPr>
                <w:noProof/>
                <w:webHidden/>
              </w:rPr>
              <w:fldChar w:fldCharType="separate"/>
            </w:r>
            <w:r>
              <w:rPr>
                <w:noProof/>
                <w:webHidden/>
              </w:rPr>
              <w:t>41</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8" w:history="1">
            <w:r w:rsidRPr="0070792A">
              <w:rPr>
                <w:rStyle w:val="Hypertextovodkaz"/>
                <w:noProof/>
              </w:rPr>
              <w:t>2.1.3</w:t>
            </w:r>
            <w:r>
              <w:rPr>
                <w:rFonts w:asciiTheme="minorHAnsi" w:eastAsiaTheme="minorEastAsia" w:hAnsiTheme="minorHAnsi" w:cstheme="minorBidi"/>
                <w:noProof/>
                <w:szCs w:val="22"/>
                <w:lang w:eastAsia="cs-CZ"/>
              </w:rPr>
              <w:tab/>
            </w:r>
            <w:r w:rsidRPr="0070792A">
              <w:rPr>
                <w:rStyle w:val="Hypertextovodkaz"/>
                <w:noProof/>
              </w:rPr>
              <w:t>Doprava</w:t>
            </w:r>
            <w:r>
              <w:rPr>
                <w:noProof/>
                <w:webHidden/>
              </w:rPr>
              <w:tab/>
            </w:r>
            <w:r>
              <w:rPr>
                <w:noProof/>
                <w:webHidden/>
              </w:rPr>
              <w:fldChar w:fldCharType="begin"/>
            </w:r>
            <w:r>
              <w:rPr>
                <w:noProof/>
                <w:webHidden/>
              </w:rPr>
              <w:instrText xml:space="preserve"> PAGEREF _Toc430006498 \h </w:instrText>
            </w:r>
            <w:r>
              <w:rPr>
                <w:noProof/>
                <w:webHidden/>
              </w:rPr>
            </w:r>
            <w:r>
              <w:rPr>
                <w:noProof/>
                <w:webHidden/>
              </w:rPr>
              <w:fldChar w:fldCharType="separate"/>
            </w:r>
            <w:r>
              <w:rPr>
                <w:noProof/>
                <w:webHidden/>
              </w:rPr>
              <w:t>45</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499" w:history="1">
            <w:r w:rsidRPr="0070792A">
              <w:rPr>
                <w:rStyle w:val="Hypertextovodkaz"/>
                <w:noProof/>
              </w:rPr>
              <w:t>2.1.4</w:t>
            </w:r>
            <w:r>
              <w:rPr>
                <w:rFonts w:asciiTheme="minorHAnsi" w:eastAsiaTheme="minorEastAsia" w:hAnsiTheme="minorHAnsi" w:cstheme="minorBidi"/>
                <w:noProof/>
                <w:szCs w:val="22"/>
                <w:lang w:eastAsia="cs-CZ"/>
              </w:rPr>
              <w:tab/>
            </w:r>
            <w:r w:rsidRPr="0070792A">
              <w:rPr>
                <w:rStyle w:val="Hypertextovodkaz"/>
                <w:noProof/>
              </w:rPr>
              <w:t>Vybavenost obcí a služby</w:t>
            </w:r>
            <w:r>
              <w:rPr>
                <w:noProof/>
                <w:webHidden/>
              </w:rPr>
              <w:tab/>
            </w:r>
            <w:r>
              <w:rPr>
                <w:noProof/>
                <w:webHidden/>
              </w:rPr>
              <w:fldChar w:fldCharType="begin"/>
            </w:r>
            <w:r>
              <w:rPr>
                <w:noProof/>
                <w:webHidden/>
              </w:rPr>
              <w:instrText xml:space="preserve"> PAGEREF _Toc430006499 \h </w:instrText>
            </w:r>
            <w:r>
              <w:rPr>
                <w:noProof/>
                <w:webHidden/>
              </w:rPr>
            </w:r>
            <w:r>
              <w:rPr>
                <w:noProof/>
                <w:webHidden/>
              </w:rPr>
              <w:fldChar w:fldCharType="separate"/>
            </w:r>
            <w:r>
              <w:rPr>
                <w:noProof/>
                <w:webHidden/>
              </w:rPr>
              <w:t>56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0" w:history="1">
            <w:r w:rsidRPr="0070792A">
              <w:rPr>
                <w:rStyle w:val="Hypertextovodkaz"/>
                <w:noProof/>
              </w:rPr>
              <w:t>2.1.5</w:t>
            </w:r>
            <w:r>
              <w:rPr>
                <w:rFonts w:asciiTheme="minorHAnsi" w:eastAsiaTheme="minorEastAsia" w:hAnsiTheme="minorHAnsi" w:cstheme="minorBidi"/>
                <w:noProof/>
                <w:szCs w:val="22"/>
                <w:lang w:eastAsia="cs-CZ"/>
              </w:rPr>
              <w:tab/>
            </w:r>
            <w:r w:rsidRPr="0070792A">
              <w:rPr>
                <w:rStyle w:val="Hypertextovodkaz"/>
                <w:noProof/>
              </w:rPr>
              <w:t>Bydlení</w:t>
            </w:r>
            <w:r>
              <w:rPr>
                <w:noProof/>
                <w:webHidden/>
              </w:rPr>
              <w:tab/>
            </w:r>
            <w:r>
              <w:rPr>
                <w:noProof/>
                <w:webHidden/>
              </w:rPr>
              <w:fldChar w:fldCharType="begin"/>
            </w:r>
            <w:r>
              <w:rPr>
                <w:noProof/>
                <w:webHidden/>
              </w:rPr>
              <w:instrText xml:space="preserve"> PAGEREF _Toc430006500 \h </w:instrText>
            </w:r>
            <w:r>
              <w:rPr>
                <w:noProof/>
                <w:webHidden/>
              </w:rPr>
            </w:r>
            <w:r>
              <w:rPr>
                <w:noProof/>
                <w:webHidden/>
              </w:rPr>
              <w:fldChar w:fldCharType="separate"/>
            </w:r>
            <w:r>
              <w:rPr>
                <w:noProof/>
                <w:webHidden/>
              </w:rPr>
              <w:t>64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1" w:history="1">
            <w:r w:rsidRPr="0070792A">
              <w:rPr>
                <w:rStyle w:val="Hypertextovodkaz"/>
                <w:noProof/>
              </w:rPr>
              <w:t>2.1.6</w:t>
            </w:r>
            <w:r>
              <w:rPr>
                <w:rFonts w:asciiTheme="minorHAnsi" w:eastAsiaTheme="minorEastAsia" w:hAnsiTheme="minorHAnsi" w:cstheme="minorBidi"/>
                <w:noProof/>
                <w:szCs w:val="22"/>
                <w:lang w:eastAsia="cs-CZ"/>
              </w:rPr>
              <w:tab/>
            </w:r>
            <w:r w:rsidRPr="0070792A">
              <w:rPr>
                <w:rStyle w:val="Hypertextovodkaz"/>
                <w:noProof/>
              </w:rPr>
              <w:t>Život v obcích</w:t>
            </w:r>
            <w:r>
              <w:rPr>
                <w:noProof/>
                <w:webHidden/>
              </w:rPr>
              <w:tab/>
            </w:r>
            <w:r>
              <w:rPr>
                <w:noProof/>
                <w:webHidden/>
              </w:rPr>
              <w:fldChar w:fldCharType="begin"/>
            </w:r>
            <w:r>
              <w:rPr>
                <w:noProof/>
                <w:webHidden/>
              </w:rPr>
              <w:instrText xml:space="preserve"> PAGEREF _Toc430006501 \h </w:instrText>
            </w:r>
            <w:r>
              <w:rPr>
                <w:noProof/>
                <w:webHidden/>
              </w:rPr>
            </w:r>
            <w:r>
              <w:rPr>
                <w:noProof/>
                <w:webHidden/>
              </w:rPr>
              <w:fldChar w:fldCharType="separate"/>
            </w:r>
            <w:r>
              <w:rPr>
                <w:noProof/>
                <w:webHidden/>
              </w:rPr>
              <w:t>77</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2" w:history="1">
            <w:r w:rsidRPr="0070792A">
              <w:rPr>
                <w:rStyle w:val="Hypertextovodkaz"/>
                <w:noProof/>
              </w:rPr>
              <w:t>2.1.7</w:t>
            </w:r>
            <w:r>
              <w:rPr>
                <w:rFonts w:asciiTheme="minorHAnsi" w:eastAsiaTheme="minorEastAsia" w:hAnsiTheme="minorHAnsi" w:cstheme="minorBidi"/>
                <w:noProof/>
                <w:szCs w:val="22"/>
                <w:lang w:eastAsia="cs-CZ"/>
              </w:rPr>
              <w:tab/>
            </w:r>
            <w:r w:rsidRPr="0070792A">
              <w:rPr>
                <w:rStyle w:val="Hypertextovodkaz"/>
                <w:noProof/>
              </w:rPr>
              <w:t>Podnikání, výroba, zaměstnanost</w:t>
            </w:r>
            <w:r>
              <w:rPr>
                <w:noProof/>
                <w:webHidden/>
              </w:rPr>
              <w:tab/>
            </w:r>
            <w:r>
              <w:rPr>
                <w:noProof/>
                <w:webHidden/>
              </w:rPr>
              <w:fldChar w:fldCharType="begin"/>
            </w:r>
            <w:r>
              <w:rPr>
                <w:noProof/>
                <w:webHidden/>
              </w:rPr>
              <w:instrText xml:space="preserve"> PAGEREF _Toc430006502 \h </w:instrText>
            </w:r>
            <w:r>
              <w:rPr>
                <w:noProof/>
                <w:webHidden/>
              </w:rPr>
            </w:r>
            <w:r>
              <w:rPr>
                <w:noProof/>
                <w:webHidden/>
              </w:rPr>
              <w:fldChar w:fldCharType="separate"/>
            </w:r>
            <w:r>
              <w:rPr>
                <w:noProof/>
                <w:webHidden/>
              </w:rPr>
              <w:t>108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3" w:history="1">
            <w:r w:rsidRPr="0070792A">
              <w:rPr>
                <w:rStyle w:val="Hypertextovodkaz"/>
                <w:noProof/>
              </w:rPr>
              <w:t>2.1.8</w:t>
            </w:r>
            <w:r>
              <w:rPr>
                <w:rFonts w:asciiTheme="minorHAnsi" w:eastAsiaTheme="minorEastAsia" w:hAnsiTheme="minorHAnsi" w:cstheme="minorBidi"/>
                <w:noProof/>
                <w:szCs w:val="22"/>
                <w:lang w:eastAsia="cs-CZ"/>
              </w:rPr>
              <w:tab/>
            </w:r>
            <w:r w:rsidRPr="0070792A">
              <w:rPr>
                <w:rStyle w:val="Hypertextovodkaz"/>
                <w:noProof/>
              </w:rPr>
              <w:t>Vzdělávání a školství</w:t>
            </w:r>
            <w:r>
              <w:rPr>
                <w:noProof/>
                <w:webHidden/>
              </w:rPr>
              <w:tab/>
            </w:r>
            <w:r>
              <w:rPr>
                <w:noProof/>
                <w:webHidden/>
              </w:rPr>
              <w:fldChar w:fldCharType="begin"/>
            </w:r>
            <w:r>
              <w:rPr>
                <w:noProof/>
                <w:webHidden/>
              </w:rPr>
              <w:instrText xml:space="preserve"> PAGEREF _Toc430006503 \h </w:instrText>
            </w:r>
            <w:r>
              <w:rPr>
                <w:noProof/>
                <w:webHidden/>
              </w:rPr>
            </w:r>
            <w:r>
              <w:rPr>
                <w:noProof/>
                <w:webHidden/>
              </w:rPr>
              <w:fldChar w:fldCharType="separate"/>
            </w:r>
            <w:r>
              <w:rPr>
                <w:noProof/>
                <w:webHidden/>
              </w:rPr>
              <w:t>124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4" w:history="1">
            <w:r w:rsidRPr="0070792A">
              <w:rPr>
                <w:rStyle w:val="Hypertextovodkaz"/>
                <w:noProof/>
              </w:rPr>
              <w:t>2.1.9</w:t>
            </w:r>
            <w:r>
              <w:rPr>
                <w:rFonts w:asciiTheme="minorHAnsi" w:eastAsiaTheme="minorEastAsia" w:hAnsiTheme="minorHAnsi" w:cstheme="minorBidi"/>
                <w:noProof/>
                <w:szCs w:val="22"/>
                <w:lang w:eastAsia="cs-CZ"/>
              </w:rPr>
              <w:tab/>
            </w:r>
            <w:r w:rsidRPr="0070792A">
              <w:rPr>
                <w:rStyle w:val="Hypertextovodkaz"/>
                <w:noProof/>
              </w:rPr>
              <w:t>Řízení obcí, informovanost, spolupráce</w:t>
            </w:r>
            <w:r>
              <w:rPr>
                <w:noProof/>
                <w:webHidden/>
              </w:rPr>
              <w:tab/>
            </w:r>
            <w:r>
              <w:rPr>
                <w:noProof/>
                <w:webHidden/>
              </w:rPr>
              <w:fldChar w:fldCharType="begin"/>
            </w:r>
            <w:r>
              <w:rPr>
                <w:noProof/>
                <w:webHidden/>
              </w:rPr>
              <w:instrText xml:space="preserve"> PAGEREF _Toc430006504 \h </w:instrText>
            </w:r>
            <w:r>
              <w:rPr>
                <w:noProof/>
                <w:webHidden/>
              </w:rPr>
            </w:r>
            <w:r>
              <w:rPr>
                <w:noProof/>
                <w:webHidden/>
              </w:rPr>
              <w:fldChar w:fldCharType="separate"/>
            </w:r>
            <w:r>
              <w:rPr>
                <w:noProof/>
                <w:webHidden/>
              </w:rPr>
              <w:t>133</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5" w:history="1">
            <w:r w:rsidRPr="0070792A">
              <w:rPr>
                <w:rStyle w:val="Hypertextovodkaz"/>
                <w:noProof/>
              </w:rPr>
              <w:t>2.1.10</w:t>
            </w:r>
            <w:r>
              <w:rPr>
                <w:rFonts w:asciiTheme="minorHAnsi" w:eastAsiaTheme="minorEastAsia" w:hAnsiTheme="minorHAnsi" w:cstheme="minorBidi"/>
                <w:noProof/>
                <w:szCs w:val="22"/>
                <w:lang w:eastAsia="cs-CZ"/>
              </w:rPr>
              <w:tab/>
            </w:r>
            <w:r w:rsidRPr="0070792A">
              <w:rPr>
                <w:rStyle w:val="Hypertextovodkaz"/>
                <w:noProof/>
              </w:rPr>
              <w:t>Bezpečnost</w:t>
            </w:r>
            <w:r>
              <w:rPr>
                <w:noProof/>
                <w:webHidden/>
              </w:rPr>
              <w:tab/>
            </w:r>
            <w:r>
              <w:rPr>
                <w:noProof/>
                <w:webHidden/>
              </w:rPr>
              <w:fldChar w:fldCharType="begin"/>
            </w:r>
            <w:r>
              <w:rPr>
                <w:noProof/>
                <w:webHidden/>
              </w:rPr>
              <w:instrText xml:space="preserve"> PAGEREF _Toc430006505 \h </w:instrText>
            </w:r>
            <w:r>
              <w:rPr>
                <w:noProof/>
                <w:webHidden/>
              </w:rPr>
            </w:r>
            <w:r>
              <w:rPr>
                <w:noProof/>
                <w:webHidden/>
              </w:rPr>
              <w:fldChar w:fldCharType="separate"/>
            </w:r>
            <w:r>
              <w:rPr>
                <w:noProof/>
                <w:webHidden/>
              </w:rPr>
              <w:t>138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6" w:history="1">
            <w:r w:rsidRPr="0070792A">
              <w:rPr>
                <w:rStyle w:val="Hypertextovodkaz"/>
                <w:noProof/>
              </w:rPr>
              <w:t>2.1.11</w:t>
            </w:r>
            <w:r>
              <w:rPr>
                <w:rFonts w:asciiTheme="minorHAnsi" w:eastAsiaTheme="minorEastAsia" w:hAnsiTheme="minorHAnsi" w:cstheme="minorBidi"/>
                <w:noProof/>
                <w:szCs w:val="22"/>
                <w:lang w:eastAsia="cs-CZ"/>
              </w:rPr>
              <w:tab/>
            </w:r>
            <w:r w:rsidRPr="0070792A">
              <w:rPr>
                <w:rStyle w:val="Hypertextovodkaz"/>
                <w:noProof/>
              </w:rPr>
              <w:t>Zemědělství, potravinářství a lesnictví</w:t>
            </w:r>
            <w:r>
              <w:rPr>
                <w:noProof/>
                <w:webHidden/>
              </w:rPr>
              <w:tab/>
            </w:r>
            <w:r>
              <w:rPr>
                <w:noProof/>
                <w:webHidden/>
              </w:rPr>
              <w:fldChar w:fldCharType="begin"/>
            </w:r>
            <w:r>
              <w:rPr>
                <w:noProof/>
                <w:webHidden/>
              </w:rPr>
              <w:instrText xml:space="preserve"> PAGEREF _Toc430006506 \h </w:instrText>
            </w:r>
            <w:r>
              <w:rPr>
                <w:noProof/>
                <w:webHidden/>
              </w:rPr>
            </w:r>
            <w:r>
              <w:rPr>
                <w:noProof/>
                <w:webHidden/>
              </w:rPr>
              <w:fldChar w:fldCharType="separate"/>
            </w:r>
            <w:r>
              <w:rPr>
                <w:noProof/>
                <w:webHidden/>
              </w:rPr>
              <w:t>141</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7" w:history="1">
            <w:r w:rsidRPr="0070792A">
              <w:rPr>
                <w:rStyle w:val="Hypertextovodkaz"/>
                <w:noProof/>
              </w:rPr>
              <w:t>2.1.12</w:t>
            </w:r>
            <w:r>
              <w:rPr>
                <w:rFonts w:asciiTheme="minorHAnsi" w:eastAsiaTheme="minorEastAsia" w:hAnsiTheme="minorHAnsi" w:cstheme="minorBidi"/>
                <w:noProof/>
                <w:szCs w:val="22"/>
                <w:lang w:eastAsia="cs-CZ"/>
              </w:rPr>
              <w:tab/>
            </w:r>
            <w:r w:rsidRPr="0070792A">
              <w:rPr>
                <w:rStyle w:val="Hypertextovodkaz"/>
                <w:noProof/>
              </w:rPr>
              <w:t>Turistický ruch</w:t>
            </w:r>
            <w:r>
              <w:rPr>
                <w:noProof/>
                <w:webHidden/>
              </w:rPr>
              <w:tab/>
            </w:r>
            <w:r>
              <w:rPr>
                <w:noProof/>
                <w:webHidden/>
              </w:rPr>
              <w:fldChar w:fldCharType="begin"/>
            </w:r>
            <w:r>
              <w:rPr>
                <w:noProof/>
                <w:webHidden/>
              </w:rPr>
              <w:instrText xml:space="preserve"> PAGEREF _Toc430006507 \h </w:instrText>
            </w:r>
            <w:r>
              <w:rPr>
                <w:noProof/>
                <w:webHidden/>
              </w:rPr>
            </w:r>
            <w:r>
              <w:rPr>
                <w:noProof/>
                <w:webHidden/>
              </w:rPr>
              <w:fldChar w:fldCharType="separate"/>
            </w:r>
            <w:r>
              <w:rPr>
                <w:noProof/>
                <w:webHidden/>
              </w:rPr>
              <w:t>149</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08" w:history="1">
            <w:r w:rsidRPr="0070792A">
              <w:rPr>
                <w:rStyle w:val="Hypertextovodkaz"/>
                <w:noProof/>
              </w:rPr>
              <w:t>2.2</w:t>
            </w:r>
            <w:r>
              <w:rPr>
                <w:rFonts w:asciiTheme="minorHAnsi" w:eastAsiaTheme="minorEastAsia" w:hAnsiTheme="minorHAnsi" w:cstheme="minorBidi"/>
                <w:noProof/>
                <w:szCs w:val="22"/>
                <w:lang w:eastAsia="cs-CZ"/>
              </w:rPr>
              <w:tab/>
            </w:r>
            <w:r w:rsidRPr="0070792A">
              <w:rPr>
                <w:rStyle w:val="Hypertextovodkaz"/>
                <w:noProof/>
              </w:rPr>
              <w:t>Vyhodnocení rozvojového potenciálu území</w:t>
            </w:r>
            <w:r>
              <w:rPr>
                <w:noProof/>
                <w:webHidden/>
              </w:rPr>
              <w:tab/>
            </w:r>
            <w:r>
              <w:rPr>
                <w:noProof/>
                <w:webHidden/>
              </w:rPr>
              <w:fldChar w:fldCharType="begin"/>
            </w:r>
            <w:r>
              <w:rPr>
                <w:noProof/>
                <w:webHidden/>
              </w:rPr>
              <w:instrText xml:space="preserve"> PAGEREF _Toc430006508 \h </w:instrText>
            </w:r>
            <w:r>
              <w:rPr>
                <w:noProof/>
                <w:webHidden/>
              </w:rPr>
            </w:r>
            <w:r>
              <w:rPr>
                <w:noProof/>
                <w:webHidden/>
              </w:rPr>
              <w:fldChar w:fldCharType="separate"/>
            </w:r>
            <w:r>
              <w:rPr>
                <w:noProof/>
                <w:webHidden/>
              </w:rPr>
              <w:t>153</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09" w:history="1">
            <w:r w:rsidRPr="0070792A">
              <w:rPr>
                <w:rStyle w:val="Hypertextovodkaz"/>
                <w:noProof/>
              </w:rPr>
              <w:t>2.2.1</w:t>
            </w:r>
            <w:r>
              <w:rPr>
                <w:rFonts w:asciiTheme="minorHAnsi" w:eastAsiaTheme="minorEastAsia" w:hAnsiTheme="minorHAnsi" w:cstheme="minorBidi"/>
                <w:noProof/>
                <w:szCs w:val="22"/>
                <w:lang w:eastAsia="cs-CZ"/>
              </w:rPr>
              <w:tab/>
            </w:r>
            <w:r w:rsidRPr="0070792A">
              <w:rPr>
                <w:rStyle w:val="Hypertextovodkaz"/>
                <w:noProof/>
              </w:rPr>
              <w:t>Územní plánování</w:t>
            </w:r>
            <w:r>
              <w:rPr>
                <w:noProof/>
                <w:webHidden/>
              </w:rPr>
              <w:tab/>
            </w:r>
            <w:r>
              <w:rPr>
                <w:noProof/>
                <w:webHidden/>
              </w:rPr>
              <w:fldChar w:fldCharType="begin"/>
            </w:r>
            <w:r>
              <w:rPr>
                <w:noProof/>
                <w:webHidden/>
              </w:rPr>
              <w:instrText xml:space="preserve"> PAGEREF _Toc430006509 \h </w:instrText>
            </w:r>
            <w:r>
              <w:rPr>
                <w:noProof/>
                <w:webHidden/>
              </w:rPr>
            </w:r>
            <w:r>
              <w:rPr>
                <w:noProof/>
                <w:webHidden/>
              </w:rPr>
              <w:fldChar w:fldCharType="separate"/>
            </w:r>
            <w:r>
              <w:rPr>
                <w:noProof/>
                <w:webHidden/>
              </w:rPr>
              <w:t>153</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10" w:history="1">
            <w:r w:rsidRPr="0070792A">
              <w:rPr>
                <w:rStyle w:val="Hypertextovodkaz"/>
                <w:noProof/>
              </w:rPr>
              <w:t>2.2.2</w:t>
            </w:r>
            <w:r>
              <w:rPr>
                <w:rFonts w:asciiTheme="minorHAnsi" w:eastAsiaTheme="minorEastAsia" w:hAnsiTheme="minorHAnsi" w:cstheme="minorBidi"/>
                <w:noProof/>
                <w:szCs w:val="22"/>
                <w:lang w:eastAsia="cs-CZ"/>
              </w:rPr>
              <w:tab/>
            </w:r>
            <w:r w:rsidRPr="0070792A">
              <w:rPr>
                <w:rStyle w:val="Hypertextovodkaz"/>
                <w:noProof/>
              </w:rPr>
              <w:t>Rozvojová území</w:t>
            </w:r>
            <w:r>
              <w:rPr>
                <w:noProof/>
                <w:webHidden/>
              </w:rPr>
              <w:tab/>
            </w:r>
            <w:r>
              <w:rPr>
                <w:noProof/>
                <w:webHidden/>
              </w:rPr>
              <w:fldChar w:fldCharType="begin"/>
            </w:r>
            <w:r>
              <w:rPr>
                <w:noProof/>
                <w:webHidden/>
              </w:rPr>
              <w:instrText xml:space="preserve"> PAGEREF _Toc430006510 \h </w:instrText>
            </w:r>
            <w:r>
              <w:rPr>
                <w:noProof/>
                <w:webHidden/>
              </w:rPr>
            </w:r>
            <w:r>
              <w:rPr>
                <w:noProof/>
                <w:webHidden/>
              </w:rPr>
              <w:fldChar w:fldCharType="separate"/>
            </w:r>
            <w:r>
              <w:rPr>
                <w:noProof/>
                <w:webHidden/>
              </w:rPr>
              <w:t>155</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11" w:history="1">
            <w:r w:rsidRPr="0070792A">
              <w:rPr>
                <w:rStyle w:val="Hypertextovodkaz"/>
                <w:noProof/>
              </w:rPr>
              <w:t>2.2.3</w:t>
            </w:r>
            <w:r>
              <w:rPr>
                <w:rFonts w:asciiTheme="minorHAnsi" w:eastAsiaTheme="minorEastAsia" w:hAnsiTheme="minorHAnsi" w:cstheme="minorBidi"/>
                <w:noProof/>
                <w:szCs w:val="22"/>
                <w:lang w:eastAsia="cs-CZ"/>
              </w:rPr>
              <w:tab/>
            </w:r>
            <w:r w:rsidRPr="0070792A">
              <w:rPr>
                <w:rStyle w:val="Hypertextovodkaz"/>
                <w:noProof/>
              </w:rPr>
              <w:t>Potenciál území - subjekty</w:t>
            </w:r>
            <w:r>
              <w:rPr>
                <w:noProof/>
                <w:webHidden/>
              </w:rPr>
              <w:tab/>
            </w:r>
            <w:r>
              <w:rPr>
                <w:noProof/>
                <w:webHidden/>
              </w:rPr>
              <w:fldChar w:fldCharType="begin"/>
            </w:r>
            <w:r>
              <w:rPr>
                <w:noProof/>
                <w:webHidden/>
              </w:rPr>
              <w:instrText xml:space="preserve"> PAGEREF _Toc430006511 \h </w:instrText>
            </w:r>
            <w:r>
              <w:rPr>
                <w:noProof/>
                <w:webHidden/>
              </w:rPr>
            </w:r>
            <w:r>
              <w:rPr>
                <w:noProof/>
                <w:webHidden/>
              </w:rPr>
              <w:fldChar w:fldCharType="separate"/>
            </w:r>
            <w:r>
              <w:rPr>
                <w:noProof/>
                <w:webHidden/>
              </w:rPr>
              <w:t>156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12" w:history="1">
            <w:r w:rsidRPr="0070792A">
              <w:rPr>
                <w:rStyle w:val="Hypertextovodkaz"/>
                <w:noProof/>
              </w:rPr>
              <w:t>2.2.4</w:t>
            </w:r>
            <w:r>
              <w:rPr>
                <w:rFonts w:asciiTheme="minorHAnsi" w:eastAsiaTheme="minorEastAsia" w:hAnsiTheme="minorHAnsi" w:cstheme="minorBidi"/>
                <w:noProof/>
                <w:szCs w:val="22"/>
                <w:lang w:eastAsia="cs-CZ"/>
              </w:rPr>
              <w:tab/>
            </w:r>
            <w:r w:rsidRPr="0070792A">
              <w:rPr>
                <w:rStyle w:val="Hypertextovodkaz"/>
                <w:noProof/>
              </w:rPr>
              <w:t>Potenciál území - oblastí</w:t>
            </w:r>
            <w:r>
              <w:rPr>
                <w:noProof/>
                <w:webHidden/>
              </w:rPr>
              <w:tab/>
            </w:r>
            <w:r>
              <w:rPr>
                <w:noProof/>
                <w:webHidden/>
              </w:rPr>
              <w:fldChar w:fldCharType="begin"/>
            </w:r>
            <w:r>
              <w:rPr>
                <w:noProof/>
                <w:webHidden/>
              </w:rPr>
              <w:instrText xml:space="preserve"> PAGEREF _Toc430006512 \h </w:instrText>
            </w:r>
            <w:r>
              <w:rPr>
                <w:noProof/>
                <w:webHidden/>
              </w:rPr>
            </w:r>
            <w:r>
              <w:rPr>
                <w:noProof/>
                <w:webHidden/>
              </w:rPr>
              <w:fldChar w:fldCharType="separate"/>
            </w:r>
            <w:r>
              <w:rPr>
                <w:noProof/>
                <w:webHidden/>
              </w:rPr>
              <w:t>159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13" w:history="1">
            <w:r w:rsidRPr="0070792A">
              <w:rPr>
                <w:rStyle w:val="Hypertextovodkaz"/>
                <w:noProof/>
              </w:rPr>
              <w:t>2.2.5</w:t>
            </w:r>
            <w:r>
              <w:rPr>
                <w:rFonts w:asciiTheme="minorHAnsi" w:eastAsiaTheme="minorEastAsia" w:hAnsiTheme="minorHAnsi" w:cstheme="minorBidi"/>
                <w:noProof/>
                <w:szCs w:val="22"/>
                <w:lang w:eastAsia="cs-CZ"/>
              </w:rPr>
              <w:tab/>
            </w:r>
            <w:r w:rsidRPr="0070792A">
              <w:rPr>
                <w:rStyle w:val="Hypertextovodkaz"/>
                <w:noProof/>
              </w:rPr>
              <w:t>Využití vlastních prostředků</w:t>
            </w:r>
            <w:r>
              <w:rPr>
                <w:noProof/>
                <w:webHidden/>
              </w:rPr>
              <w:tab/>
            </w:r>
            <w:r>
              <w:rPr>
                <w:noProof/>
                <w:webHidden/>
              </w:rPr>
              <w:fldChar w:fldCharType="begin"/>
            </w:r>
            <w:r>
              <w:rPr>
                <w:noProof/>
                <w:webHidden/>
              </w:rPr>
              <w:instrText xml:space="preserve"> PAGEREF _Toc430006513 \h </w:instrText>
            </w:r>
            <w:r>
              <w:rPr>
                <w:noProof/>
                <w:webHidden/>
              </w:rPr>
            </w:r>
            <w:r>
              <w:rPr>
                <w:noProof/>
                <w:webHidden/>
              </w:rPr>
              <w:fldChar w:fldCharType="separate"/>
            </w:r>
            <w:r>
              <w:rPr>
                <w:noProof/>
                <w:webHidden/>
              </w:rPr>
              <w:t>160</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14" w:history="1">
            <w:r w:rsidRPr="0070792A">
              <w:rPr>
                <w:rStyle w:val="Hypertextovodkaz"/>
                <w:noProof/>
              </w:rPr>
              <w:t>2.3</w:t>
            </w:r>
            <w:r>
              <w:rPr>
                <w:rFonts w:asciiTheme="minorHAnsi" w:eastAsiaTheme="minorEastAsia" w:hAnsiTheme="minorHAnsi" w:cstheme="minorBidi"/>
                <w:noProof/>
                <w:szCs w:val="22"/>
                <w:lang w:eastAsia="cs-CZ"/>
              </w:rPr>
              <w:tab/>
            </w:r>
            <w:r w:rsidRPr="0070792A">
              <w:rPr>
                <w:rStyle w:val="Hypertextovodkaz"/>
                <w:noProof/>
              </w:rPr>
              <w:t>SWOT analýza celková</w:t>
            </w:r>
            <w:r>
              <w:rPr>
                <w:noProof/>
                <w:webHidden/>
              </w:rPr>
              <w:tab/>
            </w:r>
            <w:r>
              <w:rPr>
                <w:noProof/>
                <w:webHidden/>
              </w:rPr>
              <w:fldChar w:fldCharType="begin"/>
            </w:r>
            <w:r>
              <w:rPr>
                <w:noProof/>
                <w:webHidden/>
              </w:rPr>
              <w:instrText xml:space="preserve"> PAGEREF _Toc430006514 \h </w:instrText>
            </w:r>
            <w:r>
              <w:rPr>
                <w:noProof/>
                <w:webHidden/>
              </w:rPr>
            </w:r>
            <w:r>
              <w:rPr>
                <w:noProof/>
                <w:webHidden/>
              </w:rPr>
              <w:fldChar w:fldCharType="separate"/>
            </w:r>
            <w:r>
              <w:rPr>
                <w:noProof/>
                <w:webHidden/>
              </w:rPr>
              <w:t>161</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15" w:history="1">
            <w:r w:rsidRPr="0070792A">
              <w:rPr>
                <w:rStyle w:val="Hypertextovodkaz"/>
                <w:noProof/>
              </w:rPr>
              <w:t>2.4</w:t>
            </w:r>
            <w:r>
              <w:rPr>
                <w:rFonts w:asciiTheme="minorHAnsi" w:eastAsiaTheme="minorEastAsia" w:hAnsiTheme="minorHAnsi" w:cstheme="minorBidi"/>
                <w:noProof/>
                <w:szCs w:val="22"/>
                <w:lang w:eastAsia="cs-CZ"/>
              </w:rPr>
              <w:tab/>
            </w:r>
            <w:r w:rsidRPr="0070792A">
              <w:rPr>
                <w:rStyle w:val="Hypertextovodkaz"/>
                <w:noProof/>
              </w:rPr>
              <w:t>SWOT analýzy v území vybraných oblastí rozvoje</w:t>
            </w:r>
            <w:r>
              <w:rPr>
                <w:noProof/>
                <w:webHidden/>
              </w:rPr>
              <w:tab/>
            </w:r>
            <w:r>
              <w:rPr>
                <w:noProof/>
                <w:webHidden/>
              </w:rPr>
              <w:fldChar w:fldCharType="begin"/>
            </w:r>
            <w:r>
              <w:rPr>
                <w:noProof/>
                <w:webHidden/>
              </w:rPr>
              <w:instrText xml:space="preserve"> PAGEREF _Toc430006515 \h </w:instrText>
            </w:r>
            <w:r>
              <w:rPr>
                <w:noProof/>
                <w:webHidden/>
              </w:rPr>
            </w:r>
            <w:r>
              <w:rPr>
                <w:noProof/>
                <w:webHidden/>
              </w:rPr>
              <w:fldChar w:fldCharType="separate"/>
            </w:r>
            <w:r>
              <w:rPr>
                <w:noProof/>
                <w:webHidden/>
              </w:rPr>
              <w:t>163</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516" w:history="1">
            <w:r w:rsidRPr="0070792A">
              <w:rPr>
                <w:rStyle w:val="Hypertextovodkaz"/>
                <w:noProof/>
              </w:rPr>
              <w:t>3</w:t>
            </w:r>
            <w:r>
              <w:rPr>
                <w:rFonts w:asciiTheme="minorHAnsi" w:eastAsiaTheme="minorEastAsia" w:hAnsiTheme="minorHAnsi" w:cstheme="minorBidi"/>
                <w:noProof/>
                <w:szCs w:val="22"/>
                <w:lang w:eastAsia="cs-CZ"/>
              </w:rPr>
              <w:tab/>
            </w:r>
            <w:r w:rsidRPr="0070792A">
              <w:rPr>
                <w:rStyle w:val="Hypertextovodkaz"/>
                <w:noProof/>
              </w:rPr>
              <w:t>Strategická část</w:t>
            </w:r>
            <w:r>
              <w:rPr>
                <w:noProof/>
                <w:webHidden/>
              </w:rPr>
              <w:tab/>
            </w:r>
            <w:r>
              <w:rPr>
                <w:noProof/>
                <w:webHidden/>
              </w:rPr>
              <w:fldChar w:fldCharType="begin"/>
            </w:r>
            <w:r>
              <w:rPr>
                <w:noProof/>
                <w:webHidden/>
              </w:rPr>
              <w:instrText xml:space="preserve"> PAGEREF _Toc430006516 \h </w:instrText>
            </w:r>
            <w:r>
              <w:rPr>
                <w:noProof/>
                <w:webHidden/>
              </w:rPr>
            </w:r>
            <w:r>
              <w:rPr>
                <w:noProof/>
                <w:webHidden/>
              </w:rPr>
              <w:fldChar w:fldCharType="separate"/>
            </w:r>
            <w:r>
              <w:rPr>
                <w:noProof/>
                <w:webHidden/>
              </w:rPr>
              <w:t>164</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17" w:history="1">
            <w:r w:rsidRPr="0070792A">
              <w:rPr>
                <w:rStyle w:val="Hypertextovodkaz"/>
                <w:noProof/>
              </w:rPr>
              <w:t>3.1</w:t>
            </w:r>
            <w:r>
              <w:rPr>
                <w:rFonts w:asciiTheme="minorHAnsi" w:eastAsiaTheme="minorEastAsia" w:hAnsiTheme="minorHAnsi" w:cstheme="minorBidi"/>
                <w:noProof/>
                <w:szCs w:val="22"/>
                <w:lang w:eastAsia="cs-CZ"/>
              </w:rPr>
              <w:tab/>
            </w:r>
            <w:r w:rsidRPr="0070792A">
              <w:rPr>
                <w:rStyle w:val="Hypertextovodkaz"/>
                <w:noProof/>
              </w:rPr>
              <w:t>Definování MISE</w:t>
            </w:r>
            <w:r>
              <w:rPr>
                <w:noProof/>
                <w:webHidden/>
              </w:rPr>
              <w:tab/>
            </w:r>
            <w:r>
              <w:rPr>
                <w:noProof/>
                <w:webHidden/>
              </w:rPr>
              <w:fldChar w:fldCharType="begin"/>
            </w:r>
            <w:r>
              <w:rPr>
                <w:noProof/>
                <w:webHidden/>
              </w:rPr>
              <w:instrText xml:space="preserve"> PAGEREF _Toc430006517 \h </w:instrText>
            </w:r>
            <w:r>
              <w:rPr>
                <w:noProof/>
                <w:webHidden/>
              </w:rPr>
            </w:r>
            <w:r>
              <w:rPr>
                <w:noProof/>
                <w:webHidden/>
              </w:rPr>
              <w:fldChar w:fldCharType="separate"/>
            </w:r>
            <w:r>
              <w:rPr>
                <w:noProof/>
                <w:webHidden/>
              </w:rPr>
              <w:t>164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18" w:history="1">
            <w:r w:rsidRPr="0070792A">
              <w:rPr>
                <w:rStyle w:val="Hypertextovodkaz"/>
                <w:noProof/>
              </w:rPr>
              <w:t>3.1.1</w:t>
            </w:r>
            <w:r>
              <w:rPr>
                <w:rFonts w:asciiTheme="minorHAnsi" w:eastAsiaTheme="minorEastAsia" w:hAnsiTheme="minorHAnsi" w:cstheme="minorBidi"/>
                <w:noProof/>
                <w:szCs w:val="22"/>
                <w:lang w:eastAsia="cs-CZ"/>
              </w:rPr>
              <w:tab/>
            </w:r>
            <w:r w:rsidRPr="0070792A">
              <w:rPr>
                <w:rStyle w:val="Hypertextovodkaz"/>
                <w:noProof/>
              </w:rPr>
              <w:t>Principy realizace strategie</w:t>
            </w:r>
            <w:r>
              <w:rPr>
                <w:noProof/>
                <w:webHidden/>
              </w:rPr>
              <w:tab/>
            </w:r>
            <w:r>
              <w:rPr>
                <w:noProof/>
                <w:webHidden/>
              </w:rPr>
              <w:fldChar w:fldCharType="begin"/>
            </w:r>
            <w:r>
              <w:rPr>
                <w:noProof/>
                <w:webHidden/>
              </w:rPr>
              <w:instrText xml:space="preserve"> PAGEREF _Toc430006518 \h </w:instrText>
            </w:r>
            <w:r>
              <w:rPr>
                <w:noProof/>
                <w:webHidden/>
              </w:rPr>
            </w:r>
            <w:r>
              <w:rPr>
                <w:noProof/>
                <w:webHidden/>
              </w:rPr>
              <w:fldChar w:fldCharType="separate"/>
            </w:r>
            <w:r>
              <w:rPr>
                <w:noProof/>
                <w:webHidden/>
              </w:rPr>
              <w:t>165</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19" w:history="1">
            <w:r w:rsidRPr="0070792A">
              <w:rPr>
                <w:rStyle w:val="Hypertextovodkaz"/>
                <w:noProof/>
              </w:rPr>
              <w:t>3.2</w:t>
            </w:r>
            <w:r>
              <w:rPr>
                <w:rFonts w:asciiTheme="minorHAnsi" w:eastAsiaTheme="minorEastAsia" w:hAnsiTheme="minorHAnsi" w:cstheme="minorBidi"/>
                <w:noProof/>
                <w:szCs w:val="22"/>
                <w:lang w:eastAsia="cs-CZ"/>
              </w:rPr>
              <w:tab/>
            </w:r>
            <w:r w:rsidRPr="0070792A">
              <w:rPr>
                <w:rStyle w:val="Hypertextovodkaz"/>
                <w:noProof/>
              </w:rPr>
              <w:t>Definování dlouhodobé vize rozvoje území</w:t>
            </w:r>
            <w:r>
              <w:rPr>
                <w:noProof/>
                <w:webHidden/>
              </w:rPr>
              <w:tab/>
            </w:r>
            <w:r>
              <w:rPr>
                <w:noProof/>
                <w:webHidden/>
              </w:rPr>
              <w:fldChar w:fldCharType="begin"/>
            </w:r>
            <w:r>
              <w:rPr>
                <w:noProof/>
                <w:webHidden/>
              </w:rPr>
              <w:instrText xml:space="preserve"> PAGEREF _Toc430006519 \h </w:instrText>
            </w:r>
            <w:r>
              <w:rPr>
                <w:noProof/>
                <w:webHidden/>
              </w:rPr>
            </w:r>
            <w:r>
              <w:rPr>
                <w:noProof/>
                <w:webHidden/>
              </w:rPr>
              <w:fldChar w:fldCharType="separate"/>
            </w:r>
            <w:r>
              <w:rPr>
                <w:noProof/>
                <w:webHidden/>
              </w:rPr>
              <w:t>165</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20" w:history="1">
            <w:r w:rsidRPr="0070792A">
              <w:rPr>
                <w:rStyle w:val="Hypertextovodkaz"/>
                <w:noProof/>
              </w:rPr>
              <w:t>3.3</w:t>
            </w:r>
            <w:r>
              <w:rPr>
                <w:rFonts w:asciiTheme="minorHAnsi" w:eastAsiaTheme="minorEastAsia" w:hAnsiTheme="minorHAnsi" w:cstheme="minorBidi"/>
                <w:noProof/>
                <w:szCs w:val="22"/>
                <w:lang w:eastAsia="cs-CZ"/>
              </w:rPr>
              <w:tab/>
            </w:r>
            <w:r w:rsidRPr="0070792A">
              <w:rPr>
                <w:rStyle w:val="Hypertextovodkaz"/>
                <w:noProof/>
              </w:rPr>
              <w:t>Definice podoblastí, cílů a indikátorů</w:t>
            </w:r>
            <w:r>
              <w:rPr>
                <w:noProof/>
                <w:webHidden/>
              </w:rPr>
              <w:tab/>
            </w:r>
            <w:r>
              <w:rPr>
                <w:noProof/>
                <w:webHidden/>
              </w:rPr>
              <w:fldChar w:fldCharType="begin"/>
            </w:r>
            <w:r>
              <w:rPr>
                <w:noProof/>
                <w:webHidden/>
              </w:rPr>
              <w:instrText xml:space="preserve"> PAGEREF _Toc430006520 \h </w:instrText>
            </w:r>
            <w:r>
              <w:rPr>
                <w:noProof/>
                <w:webHidden/>
              </w:rPr>
            </w:r>
            <w:r>
              <w:rPr>
                <w:noProof/>
                <w:webHidden/>
              </w:rPr>
              <w:fldChar w:fldCharType="separate"/>
            </w:r>
            <w:r>
              <w:rPr>
                <w:noProof/>
                <w:webHidden/>
              </w:rPr>
              <w:t>166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1" w:history="1">
            <w:r w:rsidRPr="0070792A">
              <w:rPr>
                <w:rStyle w:val="Hypertextovodkaz"/>
                <w:noProof/>
              </w:rPr>
              <w:t>3.3.1</w:t>
            </w:r>
            <w:r>
              <w:rPr>
                <w:rFonts w:asciiTheme="minorHAnsi" w:eastAsiaTheme="minorEastAsia" w:hAnsiTheme="minorHAnsi" w:cstheme="minorBidi"/>
                <w:noProof/>
                <w:szCs w:val="22"/>
                <w:lang w:eastAsia="cs-CZ"/>
              </w:rPr>
              <w:tab/>
            </w:r>
            <w:r w:rsidRPr="0070792A">
              <w:rPr>
                <w:rStyle w:val="Hypertextovodkaz"/>
                <w:noProof/>
              </w:rPr>
              <w:t>Oblast Místní soudržnost</w:t>
            </w:r>
            <w:r>
              <w:rPr>
                <w:noProof/>
                <w:webHidden/>
              </w:rPr>
              <w:tab/>
            </w:r>
            <w:r>
              <w:rPr>
                <w:noProof/>
                <w:webHidden/>
              </w:rPr>
              <w:fldChar w:fldCharType="begin"/>
            </w:r>
            <w:r>
              <w:rPr>
                <w:noProof/>
                <w:webHidden/>
              </w:rPr>
              <w:instrText xml:space="preserve"> PAGEREF _Toc430006521 \h </w:instrText>
            </w:r>
            <w:r>
              <w:rPr>
                <w:noProof/>
                <w:webHidden/>
              </w:rPr>
            </w:r>
            <w:r>
              <w:rPr>
                <w:noProof/>
                <w:webHidden/>
              </w:rPr>
              <w:fldChar w:fldCharType="separate"/>
            </w:r>
            <w:r>
              <w:rPr>
                <w:noProof/>
                <w:webHidden/>
              </w:rPr>
              <w:t>167</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2" w:history="1">
            <w:r w:rsidRPr="0070792A">
              <w:rPr>
                <w:rStyle w:val="Hypertextovodkaz"/>
                <w:noProof/>
              </w:rPr>
              <w:t>3.3.2</w:t>
            </w:r>
            <w:r>
              <w:rPr>
                <w:rFonts w:asciiTheme="minorHAnsi" w:eastAsiaTheme="minorEastAsia" w:hAnsiTheme="minorHAnsi" w:cstheme="minorBidi"/>
                <w:noProof/>
                <w:szCs w:val="22"/>
                <w:lang w:eastAsia="cs-CZ"/>
              </w:rPr>
              <w:tab/>
            </w:r>
            <w:r w:rsidRPr="0070792A">
              <w:rPr>
                <w:rStyle w:val="Hypertextovodkaz"/>
                <w:noProof/>
              </w:rPr>
              <w:t>Oblast Infrastruktura</w:t>
            </w:r>
            <w:r>
              <w:rPr>
                <w:noProof/>
                <w:webHidden/>
              </w:rPr>
              <w:tab/>
            </w:r>
            <w:r>
              <w:rPr>
                <w:noProof/>
                <w:webHidden/>
              </w:rPr>
              <w:fldChar w:fldCharType="begin"/>
            </w:r>
            <w:r>
              <w:rPr>
                <w:noProof/>
                <w:webHidden/>
              </w:rPr>
              <w:instrText xml:space="preserve"> PAGEREF _Toc430006522 \h </w:instrText>
            </w:r>
            <w:r>
              <w:rPr>
                <w:noProof/>
                <w:webHidden/>
              </w:rPr>
            </w:r>
            <w:r>
              <w:rPr>
                <w:noProof/>
                <w:webHidden/>
              </w:rPr>
              <w:fldChar w:fldCharType="separate"/>
            </w:r>
            <w:r>
              <w:rPr>
                <w:noProof/>
                <w:webHidden/>
              </w:rPr>
              <w:t>168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3" w:history="1">
            <w:r w:rsidRPr="0070792A">
              <w:rPr>
                <w:rStyle w:val="Hypertextovodkaz"/>
                <w:noProof/>
                <w:lang w:eastAsia="cs-CZ"/>
              </w:rPr>
              <w:t>3.3.3</w:t>
            </w:r>
            <w:r>
              <w:rPr>
                <w:rFonts w:asciiTheme="minorHAnsi" w:eastAsiaTheme="minorEastAsia" w:hAnsiTheme="minorHAnsi" w:cstheme="minorBidi"/>
                <w:noProof/>
                <w:szCs w:val="22"/>
                <w:lang w:eastAsia="cs-CZ"/>
              </w:rPr>
              <w:tab/>
            </w:r>
            <w:r w:rsidRPr="0070792A">
              <w:rPr>
                <w:rStyle w:val="Hypertextovodkaz"/>
                <w:noProof/>
                <w:lang w:eastAsia="cs-CZ"/>
              </w:rPr>
              <w:t>Oblast Životní prostředí</w:t>
            </w:r>
            <w:r>
              <w:rPr>
                <w:noProof/>
                <w:webHidden/>
              </w:rPr>
              <w:tab/>
            </w:r>
            <w:r>
              <w:rPr>
                <w:noProof/>
                <w:webHidden/>
              </w:rPr>
              <w:fldChar w:fldCharType="begin"/>
            </w:r>
            <w:r>
              <w:rPr>
                <w:noProof/>
                <w:webHidden/>
              </w:rPr>
              <w:instrText xml:space="preserve"> PAGEREF _Toc430006523 \h </w:instrText>
            </w:r>
            <w:r>
              <w:rPr>
                <w:noProof/>
                <w:webHidden/>
              </w:rPr>
            </w:r>
            <w:r>
              <w:rPr>
                <w:noProof/>
                <w:webHidden/>
              </w:rPr>
              <w:fldChar w:fldCharType="separate"/>
            </w:r>
            <w:r>
              <w:rPr>
                <w:noProof/>
                <w:webHidden/>
              </w:rPr>
              <w:t>170</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4" w:history="1">
            <w:r w:rsidRPr="0070792A">
              <w:rPr>
                <w:rStyle w:val="Hypertextovodkaz"/>
                <w:noProof/>
                <w:lang w:eastAsia="cs-CZ"/>
              </w:rPr>
              <w:t>3.3.4</w:t>
            </w:r>
            <w:r>
              <w:rPr>
                <w:rFonts w:asciiTheme="minorHAnsi" w:eastAsiaTheme="minorEastAsia" w:hAnsiTheme="minorHAnsi" w:cstheme="minorBidi"/>
                <w:noProof/>
                <w:szCs w:val="22"/>
                <w:lang w:eastAsia="cs-CZ"/>
              </w:rPr>
              <w:tab/>
            </w:r>
            <w:r w:rsidRPr="0070792A">
              <w:rPr>
                <w:rStyle w:val="Hypertextovodkaz"/>
                <w:noProof/>
                <w:lang w:eastAsia="cs-CZ"/>
              </w:rPr>
              <w:t>Oblast Hospodářství</w:t>
            </w:r>
            <w:r>
              <w:rPr>
                <w:noProof/>
                <w:webHidden/>
              </w:rPr>
              <w:tab/>
            </w:r>
            <w:r>
              <w:rPr>
                <w:noProof/>
                <w:webHidden/>
              </w:rPr>
              <w:fldChar w:fldCharType="begin"/>
            </w:r>
            <w:r>
              <w:rPr>
                <w:noProof/>
                <w:webHidden/>
              </w:rPr>
              <w:instrText xml:space="preserve"> PAGEREF _Toc430006524 \h </w:instrText>
            </w:r>
            <w:r>
              <w:rPr>
                <w:noProof/>
                <w:webHidden/>
              </w:rPr>
            </w:r>
            <w:r>
              <w:rPr>
                <w:noProof/>
                <w:webHidden/>
              </w:rPr>
              <w:fldChar w:fldCharType="separate"/>
            </w:r>
            <w:r>
              <w:rPr>
                <w:noProof/>
                <w:webHidden/>
              </w:rPr>
              <w:t>172</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5" w:history="1">
            <w:r w:rsidRPr="0070792A">
              <w:rPr>
                <w:rStyle w:val="Hypertextovodkaz"/>
                <w:noProof/>
                <w:lang w:eastAsia="cs-CZ"/>
              </w:rPr>
              <w:t>3.3.5</w:t>
            </w:r>
            <w:r>
              <w:rPr>
                <w:rFonts w:asciiTheme="minorHAnsi" w:eastAsiaTheme="minorEastAsia" w:hAnsiTheme="minorHAnsi" w:cstheme="minorBidi"/>
                <w:noProof/>
                <w:szCs w:val="22"/>
                <w:lang w:eastAsia="cs-CZ"/>
              </w:rPr>
              <w:tab/>
            </w:r>
            <w:r w:rsidRPr="0070792A">
              <w:rPr>
                <w:rStyle w:val="Hypertextovodkaz"/>
                <w:noProof/>
                <w:lang w:eastAsia="cs-CZ"/>
              </w:rPr>
              <w:t>Konkrétní opatření</w:t>
            </w:r>
            <w:r>
              <w:rPr>
                <w:noProof/>
                <w:webHidden/>
              </w:rPr>
              <w:tab/>
            </w:r>
            <w:r>
              <w:rPr>
                <w:noProof/>
                <w:webHidden/>
              </w:rPr>
              <w:fldChar w:fldCharType="begin"/>
            </w:r>
            <w:r>
              <w:rPr>
                <w:noProof/>
                <w:webHidden/>
              </w:rPr>
              <w:instrText xml:space="preserve"> PAGEREF _Toc430006525 \h </w:instrText>
            </w:r>
            <w:r>
              <w:rPr>
                <w:noProof/>
                <w:webHidden/>
              </w:rPr>
            </w:r>
            <w:r>
              <w:rPr>
                <w:noProof/>
                <w:webHidden/>
              </w:rPr>
              <w:fldChar w:fldCharType="separate"/>
            </w:r>
            <w:r>
              <w:rPr>
                <w:noProof/>
                <w:webHidden/>
              </w:rPr>
              <w:t>174</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26" w:history="1">
            <w:r w:rsidRPr="0070792A">
              <w:rPr>
                <w:rStyle w:val="Hypertextovodkaz"/>
                <w:noProof/>
              </w:rPr>
              <w:t>3.4</w:t>
            </w:r>
            <w:r>
              <w:rPr>
                <w:rFonts w:asciiTheme="minorHAnsi" w:eastAsiaTheme="minorEastAsia" w:hAnsiTheme="minorHAnsi" w:cstheme="minorBidi"/>
                <w:noProof/>
                <w:szCs w:val="22"/>
                <w:lang w:eastAsia="cs-CZ"/>
              </w:rPr>
              <w:tab/>
            </w:r>
            <w:r w:rsidRPr="0070792A">
              <w:rPr>
                <w:rStyle w:val="Hypertextovodkaz"/>
                <w:noProof/>
              </w:rPr>
              <w:t>Programové rámce</w:t>
            </w:r>
            <w:r>
              <w:rPr>
                <w:noProof/>
                <w:webHidden/>
              </w:rPr>
              <w:tab/>
            </w:r>
            <w:r>
              <w:rPr>
                <w:noProof/>
                <w:webHidden/>
              </w:rPr>
              <w:fldChar w:fldCharType="begin"/>
            </w:r>
            <w:r>
              <w:rPr>
                <w:noProof/>
                <w:webHidden/>
              </w:rPr>
              <w:instrText xml:space="preserve"> PAGEREF _Toc430006526 \h </w:instrText>
            </w:r>
            <w:r>
              <w:rPr>
                <w:noProof/>
                <w:webHidden/>
              </w:rPr>
            </w:r>
            <w:r>
              <w:rPr>
                <w:noProof/>
                <w:webHidden/>
              </w:rPr>
              <w:fldChar w:fldCharType="separate"/>
            </w:r>
            <w:r>
              <w:rPr>
                <w:noProof/>
                <w:webHidden/>
              </w:rPr>
              <w:t>178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7" w:history="1">
            <w:r w:rsidRPr="0070792A">
              <w:rPr>
                <w:rStyle w:val="Hypertextovodkaz"/>
                <w:noProof/>
              </w:rPr>
              <w:t>3.4.1</w:t>
            </w:r>
            <w:r>
              <w:rPr>
                <w:rFonts w:asciiTheme="minorHAnsi" w:eastAsiaTheme="minorEastAsia" w:hAnsiTheme="minorHAnsi" w:cstheme="minorBidi"/>
                <w:noProof/>
                <w:szCs w:val="22"/>
                <w:lang w:eastAsia="cs-CZ"/>
              </w:rPr>
              <w:tab/>
            </w:r>
            <w:r w:rsidRPr="0070792A">
              <w:rPr>
                <w:rStyle w:val="Hypertextovodkaz"/>
                <w:noProof/>
              </w:rPr>
              <w:t>Programový rámec IROP</w:t>
            </w:r>
            <w:r>
              <w:rPr>
                <w:noProof/>
                <w:webHidden/>
              </w:rPr>
              <w:tab/>
            </w:r>
            <w:r>
              <w:rPr>
                <w:noProof/>
                <w:webHidden/>
              </w:rPr>
              <w:fldChar w:fldCharType="begin"/>
            </w:r>
            <w:r>
              <w:rPr>
                <w:noProof/>
                <w:webHidden/>
              </w:rPr>
              <w:instrText xml:space="preserve"> PAGEREF _Toc430006527 \h </w:instrText>
            </w:r>
            <w:r>
              <w:rPr>
                <w:noProof/>
                <w:webHidden/>
              </w:rPr>
            </w:r>
            <w:r>
              <w:rPr>
                <w:noProof/>
                <w:webHidden/>
              </w:rPr>
              <w:fldChar w:fldCharType="separate"/>
            </w:r>
            <w:r>
              <w:rPr>
                <w:noProof/>
                <w:webHidden/>
              </w:rPr>
              <w:t>178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8" w:history="1">
            <w:r w:rsidRPr="0070792A">
              <w:rPr>
                <w:rStyle w:val="Hypertextovodkaz"/>
                <w:noProof/>
              </w:rPr>
              <w:t>3.4.2</w:t>
            </w:r>
            <w:r>
              <w:rPr>
                <w:rFonts w:asciiTheme="minorHAnsi" w:eastAsiaTheme="minorEastAsia" w:hAnsiTheme="minorHAnsi" w:cstheme="minorBidi"/>
                <w:noProof/>
                <w:szCs w:val="22"/>
                <w:lang w:eastAsia="cs-CZ"/>
              </w:rPr>
              <w:tab/>
            </w:r>
            <w:r w:rsidRPr="0070792A">
              <w:rPr>
                <w:rStyle w:val="Hypertextovodkaz"/>
                <w:noProof/>
              </w:rPr>
              <w:t>Programový rámec PRV</w:t>
            </w:r>
            <w:r>
              <w:rPr>
                <w:noProof/>
                <w:webHidden/>
              </w:rPr>
              <w:tab/>
            </w:r>
            <w:r>
              <w:rPr>
                <w:noProof/>
                <w:webHidden/>
              </w:rPr>
              <w:fldChar w:fldCharType="begin"/>
            </w:r>
            <w:r>
              <w:rPr>
                <w:noProof/>
                <w:webHidden/>
              </w:rPr>
              <w:instrText xml:space="preserve"> PAGEREF _Toc430006528 \h </w:instrText>
            </w:r>
            <w:r>
              <w:rPr>
                <w:noProof/>
                <w:webHidden/>
              </w:rPr>
            </w:r>
            <w:r>
              <w:rPr>
                <w:noProof/>
                <w:webHidden/>
              </w:rPr>
              <w:fldChar w:fldCharType="separate"/>
            </w:r>
            <w:r>
              <w:rPr>
                <w:noProof/>
                <w:webHidden/>
              </w:rPr>
              <w:t>181</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29" w:history="1">
            <w:r w:rsidRPr="0070792A">
              <w:rPr>
                <w:rStyle w:val="Hypertextovodkaz"/>
                <w:noProof/>
              </w:rPr>
              <w:t>3.4.3</w:t>
            </w:r>
            <w:r>
              <w:rPr>
                <w:rFonts w:asciiTheme="minorHAnsi" w:eastAsiaTheme="minorEastAsia" w:hAnsiTheme="minorHAnsi" w:cstheme="minorBidi"/>
                <w:noProof/>
                <w:szCs w:val="22"/>
                <w:lang w:eastAsia="cs-CZ"/>
              </w:rPr>
              <w:tab/>
            </w:r>
            <w:r w:rsidRPr="0070792A">
              <w:rPr>
                <w:rStyle w:val="Hypertextovodkaz"/>
                <w:noProof/>
              </w:rPr>
              <w:t>Programový rámec OP Zaměstnanost</w:t>
            </w:r>
            <w:r>
              <w:rPr>
                <w:noProof/>
                <w:webHidden/>
              </w:rPr>
              <w:tab/>
            </w:r>
            <w:r>
              <w:rPr>
                <w:noProof/>
                <w:webHidden/>
              </w:rPr>
              <w:fldChar w:fldCharType="begin"/>
            </w:r>
            <w:r>
              <w:rPr>
                <w:noProof/>
                <w:webHidden/>
              </w:rPr>
              <w:instrText xml:space="preserve"> PAGEREF _Toc430006529 \h </w:instrText>
            </w:r>
            <w:r>
              <w:rPr>
                <w:noProof/>
                <w:webHidden/>
              </w:rPr>
            </w:r>
            <w:r>
              <w:rPr>
                <w:noProof/>
                <w:webHidden/>
              </w:rPr>
              <w:fldChar w:fldCharType="separate"/>
            </w:r>
            <w:r>
              <w:rPr>
                <w:noProof/>
                <w:webHidden/>
              </w:rPr>
              <w:t>182</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30" w:history="1">
            <w:r w:rsidRPr="0070792A">
              <w:rPr>
                <w:rStyle w:val="Hypertextovodkaz"/>
                <w:noProof/>
              </w:rPr>
              <w:t>3.5</w:t>
            </w:r>
            <w:r>
              <w:rPr>
                <w:rFonts w:asciiTheme="minorHAnsi" w:eastAsiaTheme="minorEastAsia" w:hAnsiTheme="minorHAnsi" w:cstheme="minorBidi"/>
                <w:noProof/>
                <w:szCs w:val="22"/>
                <w:lang w:eastAsia="cs-CZ"/>
              </w:rPr>
              <w:tab/>
            </w:r>
            <w:r w:rsidRPr="0070792A">
              <w:rPr>
                <w:rStyle w:val="Hypertextovodkaz"/>
                <w:noProof/>
              </w:rPr>
              <w:t>Stanovení priorit</w:t>
            </w:r>
            <w:r>
              <w:rPr>
                <w:noProof/>
                <w:webHidden/>
              </w:rPr>
              <w:tab/>
            </w:r>
            <w:r>
              <w:rPr>
                <w:noProof/>
                <w:webHidden/>
              </w:rPr>
              <w:fldChar w:fldCharType="begin"/>
            </w:r>
            <w:r>
              <w:rPr>
                <w:noProof/>
                <w:webHidden/>
              </w:rPr>
              <w:instrText xml:space="preserve"> PAGEREF _Toc430006530 \h </w:instrText>
            </w:r>
            <w:r>
              <w:rPr>
                <w:noProof/>
                <w:webHidden/>
              </w:rPr>
            </w:r>
            <w:r>
              <w:rPr>
                <w:noProof/>
                <w:webHidden/>
              </w:rPr>
              <w:fldChar w:fldCharType="separate"/>
            </w:r>
            <w:r>
              <w:rPr>
                <w:noProof/>
                <w:webHidden/>
              </w:rPr>
              <w:t>186</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31" w:history="1">
            <w:r w:rsidRPr="0070792A">
              <w:rPr>
                <w:rStyle w:val="Hypertextovodkaz"/>
                <w:noProof/>
              </w:rPr>
              <w:t>3.6</w:t>
            </w:r>
            <w:r>
              <w:rPr>
                <w:rFonts w:asciiTheme="minorHAnsi" w:eastAsiaTheme="minorEastAsia" w:hAnsiTheme="minorHAnsi" w:cstheme="minorBidi"/>
                <w:noProof/>
                <w:szCs w:val="22"/>
                <w:lang w:eastAsia="cs-CZ"/>
              </w:rPr>
              <w:tab/>
            </w:r>
            <w:r w:rsidRPr="0070792A">
              <w:rPr>
                <w:rStyle w:val="Hypertextovodkaz"/>
                <w:noProof/>
              </w:rPr>
              <w:t>Návaznost na jiné strategické dokumenty</w:t>
            </w:r>
            <w:r>
              <w:rPr>
                <w:noProof/>
                <w:webHidden/>
              </w:rPr>
              <w:tab/>
            </w:r>
            <w:r>
              <w:rPr>
                <w:noProof/>
                <w:webHidden/>
              </w:rPr>
              <w:fldChar w:fldCharType="begin"/>
            </w:r>
            <w:r>
              <w:rPr>
                <w:noProof/>
                <w:webHidden/>
              </w:rPr>
              <w:instrText xml:space="preserve"> PAGEREF _Toc430006531 \h </w:instrText>
            </w:r>
            <w:r>
              <w:rPr>
                <w:noProof/>
                <w:webHidden/>
              </w:rPr>
            </w:r>
            <w:r>
              <w:rPr>
                <w:noProof/>
                <w:webHidden/>
              </w:rPr>
              <w:fldChar w:fldCharType="separate"/>
            </w:r>
            <w:r>
              <w:rPr>
                <w:noProof/>
                <w:webHidden/>
              </w:rPr>
              <w:t>186</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32" w:history="1">
            <w:r w:rsidRPr="0070792A">
              <w:rPr>
                <w:rStyle w:val="Hypertextovodkaz"/>
                <w:noProof/>
              </w:rPr>
              <w:t>3.7</w:t>
            </w:r>
            <w:r>
              <w:rPr>
                <w:rFonts w:asciiTheme="minorHAnsi" w:eastAsiaTheme="minorEastAsia" w:hAnsiTheme="minorHAnsi" w:cstheme="minorBidi"/>
                <w:noProof/>
                <w:szCs w:val="22"/>
                <w:lang w:eastAsia="cs-CZ"/>
              </w:rPr>
              <w:tab/>
            </w:r>
            <w:r w:rsidRPr="0070792A">
              <w:rPr>
                <w:rStyle w:val="Hypertextovodkaz"/>
                <w:noProof/>
              </w:rPr>
              <w:t>Podněty z dobré praxe jiných regionů</w:t>
            </w:r>
            <w:r>
              <w:rPr>
                <w:noProof/>
                <w:webHidden/>
              </w:rPr>
              <w:tab/>
            </w:r>
            <w:r>
              <w:rPr>
                <w:noProof/>
                <w:webHidden/>
              </w:rPr>
              <w:fldChar w:fldCharType="begin"/>
            </w:r>
            <w:r>
              <w:rPr>
                <w:noProof/>
                <w:webHidden/>
              </w:rPr>
              <w:instrText xml:space="preserve"> PAGEREF _Toc430006532 \h </w:instrText>
            </w:r>
            <w:r>
              <w:rPr>
                <w:noProof/>
                <w:webHidden/>
              </w:rPr>
            </w:r>
            <w:r>
              <w:rPr>
                <w:noProof/>
                <w:webHidden/>
              </w:rPr>
              <w:fldChar w:fldCharType="separate"/>
            </w:r>
            <w:r>
              <w:rPr>
                <w:noProof/>
                <w:webHidden/>
              </w:rPr>
              <w:t>189</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33" w:history="1">
            <w:r w:rsidRPr="0070792A">
              <w:rPr>
                <w:rStyle w:val="Hypertextovodkaz"/>
                <w:noProof/>
              </w:rPr>
              <w:t>3.8</w:t>
            </w:r>
            <w:r>
              <w:rPr>
                <w:rFonts w:asciiTheme="minorHAnsi" w:eastAsiaTheme="minorEastAsia" w:hAnsiTheme="minorHAnsi" w:cstheme="minorBidi"/>
                <w:noProof/>
                <w:szCs w:val="22"/>
                <w:lang w:eastAsia="cs-CZ"/>
              </w:rPr>
              <w:tab/>
            </w:r>
            <w:r w:rsidRPr="0070792A">
              <w:rPr>
                <w:rStyle w:val="Hypertextovodkaz"/>
                <w:noProof/>
              </w:rPr>
              <w:t>Integrační prvky</w:t>
            </w:r>
            <w:r>
              <w:rPr>
                <w:noProof/>
                <w:webHidden/>
              </w:rPr>
              <w:tab/>
            </w:r>
            <w:r>
              <w:rPr>
                <w:noProof/>
                <w:webHidden/>
              </w:rPr>
              <w:fldChar w:fldCharType="begin"/>
            </w:r>
            <w:r>
              <w:rPr>
                <w:noProof/>
                <w:webHidden/>
              </w:rPr>
              <w:instrText xml:space="preserve"> PAGEREF _Toc430006533 \h </w:instrText>
            </w:r>
            <w:r>
              <w:rPr>
                <w:noProof/>
                <w:webHidden/>
              </w:rPr>
            </w:r>
            <w:r>
              <w:rPr>
                <w:noProof/>
                <w:webHidden/>
              </w:rPr>
              <w:fldChar w:fldCharType="separate"/>
            </w:r>
            <w:r>
              <w:rPr>
                <w:noProof/>
                <w:webHidden/>
              </w:rPr>
              <w:t>189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34" w:history="1">
            <w:r w:rsidRPr="0070792A">
              <w:rPr>
                <w:rStyle w:val="Hypertextovodkaz"/>
                <w:noProof/>
              </w:rPr>
              <w:t>3.8.1</w:t>
            </w:r>
            <w:r>
              <w:rPr>
                <w:rFonts w:asciiTheme="minorHAnsi" w:eastAsiaTheme="minorEastAsia" w:hAnsiTheme="minorHAnsi" w:cstheme="minorBidi"/>
                <w:noProof/>
                <w:szCs w:val="22"/>
                <w:lang w:eastAsia="cs-CZ"/>
              </w:rPr>
              <w:tab/>
            </w:r>
            <w:r w:rsidRPr="0070792A">
              <w:rPr>
                <w:rStyle w:val="Hypertextovodkaz"/>
                <w:noProof/>
              </w:rPr>
              <w:t>Integrace v regionu MAS</w:t>
            </w:r>
            <w:r>
              <w:rPr>
                <w:noProof/>
                <w:webHidden/>
              </w:rPr>
              <w:tab/>
            </w:r>
            <w:r>
              <w:rPr>
                <w:noProof/>
                <w:webHidden/>
              </w:rPr>
              <w:fldChar w:fldCharType="begin"/>
            </w:r>
            <w:r>
              <w:rPr>
                <w:noProof/>
                <w:webHidden/>
              </w:rPr>
              <w:instrText xml:space="preserve"> PAGEREF _Toc430006534 \h </w:instrText>
            </w:r>
            <w:r>
              <w:rPr>
                <w:noProof/>
                <w:webHidden/>
              </w:rPr>
            </w:r>
            <w:r>
              <w:rPr>
                <w:noProof/>
                <w:webHidden/>
              </w:rPr>
              <w:fldChar w:fldCharType="separate"/>
            </w:r>
            <w:r>
              <w:rPr>
                <w:noProof/>
                <w:webHidden/>
              </w:rPr>
              <w:t>190</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35" w:history="1">
            <w:r w:rsidRPr="0070792A">
              <w:rPr>
                <w:rStyle w:val="Hypertextovodkaz"/>
                <w:noProof/>
              </w:rPr>
              <w:t>3.8.2</w:t>
            </w:r>
            <w:r>
              <w:rPr>
                <w:rFonts w:asciiTheme="minorHAnsi" w:eastAsiaTheme="minorEastAsia" w:hAnsiTheme="minorHAnsi" w:cstheme="minorBidi"/>
                <w:noProof/>
                <w:szCs w:val="22"/>
                <w:lang w:eastAsia="cs-CZ"/>
              </w:rPr>
              <w:tab/>
            </w:r>
            <w:r w:rsidRPr="0070792A">
              <w:rPr>
                <w:rStyle w:val="Hypertextovodkaz"/>
                <w:noProof/>
              </w:rPr>
              <w:t>Integrace mimo přesahující region</w:t>
            </w:r>
            <w:r>
              <w:rPr>
                <w:noProof/>
                <w:webHidden/>
              </w:rPr>
              <w:tab/>
            </w:r>
            <w:r>
              <w:rPr>
                <w:noProof/>
                <w:webHidden/>
              </w:rPr>
              <w:fldChar w:fldCharType="begin"/>
            </w:r>
            <w:r>
              <w:rPr>
                <w:noProof/>
                <w:webHidden/>
              </w:rPr>
              <w:instrText xml:space="preserve"> PAGEREF _Toc430006535 \h </w:instrText>
            </w:r>
            <w:r>
              <w:rPr>
                <w:noProof/>
                <w:webHidden/>
              </w:rPr>
            </w:r>
            <w:r>
              <w:rPr>
                <w:noProof/>
                <w:webHidden/>
              </w:rPr>
              <w:fldChar w:fldCharType="separate"/>
            </w:r>
            <w:r>
              <w:rPr>
                <w:noProof/>
                <w:webHidden/>
              </w:rPr>
              <w:t>192</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36" w:history="1">
            <w:r w:rsidRPr="0070792A">
              <w:rPr>
                <w:rStyle w:val="Hypertextovodkaz"/>
                <w:noProof/>
              </w:rPr>
              <w:t>3.9</w:t>
            </w:r>
            <w:r>
              <w:rPr>
                <w:rFonts w:asciiTheme="minorHAnsi" w:eastAsiaTheme="minorEastAsia" w:hAnsiTheme="minorHAnsi" w:cstheme="minorBidi"/>
                <w:noProof/>
                <w:szCs w:val="22"/>
                <w:lang w:eastAsia="cs-CZ"/>
              </w:rPr>
              <w:tab/>
            </w:r>
            <w:r w:rsidRPr="0070792A">
              <w:rPr>
                <w:rStyle w:val="Hypertextovodkaz"/>
                <w:noProof/>
              </w:rPr>
              <w:t>Inovativní prvky</w:t>
            </w:r>
            <w:r>
              <w:rPr>
                <w:noProof/>
                <w:webHidden/>
              </w:rPr>
              <w:tab/>
            </w:r>
            <w:r>
              <w:rPr>
                <w:noProof/>
                <w:webHidden/>
              </w:rPr>
              <w:fldChar w:fldCharType="begin"/>
            </w:r>
            <w:r>
              <w:rPr>
                <w:noProof/>
                <w:webHidden/>
              </w:rPr>
              <w:instrText xml:space="preserve"> PAGEREF _Toc430006536 \h </w:instrText>
            </w:r>
            <w:r>
              <w:rPr>
                <w:noProof/>
                <w:webHidden/>
              </w:rPr>
            </w:r>
            <w:r>
              <w:rPr>
                <w:noProof/>
                <w:webHidden/>
              </w:rPr>
              <w:fldChar w:fldCharType="separate"/>
            </w:r>
            <w:r>
              <w:rPr>
                <w:noProof/>
                <w:webHidden/>
              </w:rPr>
              <w:t>195</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37" w:history="1">
            <w:r w:rsidRPr="0070792A">
              <w:rPr>
                <w:rStyle w:val="Hypertextovodkaz"/>
                <w:noProof/>
              </w:rPr>
              <w:t>3.9.1</w:t>
            </w:r>
            <w:r>
              <w:rPr>
                <w:rFonts w:asciiTheme="minorHAnsi" w:eastAsiaTheme="minorEastAsia" w:hAnsiTheme="minorHAnsi" w:cstheme="minorBidi"/>
                <w:noProof/>
                <w:szCs w:val="22"/>
                <w:lang w:eastAsia="cs-CZ"/>
              </w:rPr>
              <w:tab/>
            </w:r>
            <w:r w:rsidRPr="0070792A">
              <w:rPr>
                <w:rStyle w:val="Hypertextovodkaz"/>
                <w:noProof/>
              </w:rPr>
              <w:t>Radikální inovace</w:t>
            </w:r>
            <w:r>
              <w:rPr>
                <w:noProof/>
                <w:webHidden/>
              </w:rPr>
              <w:tab/>
            </w:r>
            <w:r>
              <w:rPr>
                <w:noProof/>
                <w:webHidden/>
              </w:rPr>
              <w:fldChar w:fldCharType="begin"/>
            </w:r>
            <w:r>
              <w:rPr>
                <w:noProof/>
                <w:webHidden/>
              </w:rPr>
              <w:instrText xml:space="preserve"> PAGEREF _Toc430006537 \h </w:instrText>
            </w:r>
            <w:r>
              <w:rPr>
                <w:noProof/>
                <w:webHidden/>
              </w:rPr>
            </w:r>
            <w:r>
              <w:rPr>
                <w:noProof/>
                <w:webHidden/>
              </w:rPr>
              <w:fldChar w:fldCharType="separate"/>
            </w:r>
            <w:r>
              <w:rPr>
                <w:noProof/>
                <w:webHidden/>
              </w:rPr>
              <w:t>196</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38" w:history="1">
            <w:r w:rsidRPr="0070792A">
              <w:rPr>
                <w:rStyle w:val="Hypertextovodkaz"/>
                <w:noProof/>
              </w:rPr>
              <w:t>3.9.2</w:t>
            </w:r>
            <w:r>
              <w:rPr>
                <w:rFonts w:asciiTheme="minorHAnsi" w:eastAsiaTheme="minorEastAsia" w:hAnsiTheme="minorHAnsi" w:cstheme="minorBidi"/>
                <w:noProof/>
                <w:szCs w:val="22"/>
                <w:lang w:eastAsia="cs-CZ"/>
              </w:rPr>
              <w:tab/>
            </w:r>
            <w:r w:rsidRPr="0070792A">
              <w:rPr>
                <w:rStyle w:val="Hypertextovodkaz"/>
                <w:noProof/>
              </w:rPr>
              <w:t>Přírůstková inovace</w:t>
            </w:r>
            <w:r>
              <w:rPr>
                <w:noProof/>
                <w:webHidden/>
              </w:rPr>
              <w:tab/>
            </w:r>
            <w:r>
              <w:rPr>
                <w:noProof/>
                <w:webHidden/>
              </w:rPr>
              <w:fldChar w:fldCharType="begin"/>
            </w:r>
            <w:r>
              <w:rPr>
                <w:noProof/>
                <w:webHidden/>
              </w:rPr>
              <w:instrText xml:space="preserve"> PAGEREF _Toc430006538 \h </w:instrText>
            </w:r>
            <w:r>
              <w:rPr>
                <w:noProof/>
                <w:webHidden/>
              </w:rPr>
            </w:r>
            <w:r>
              <w:rPr>
                <w:noProof/>
                <w:webHidden/>
              </w:rPr>
              <w:fldChar w:fldCharType="separate"/>
            </w:r>
            <w:r>
              <w:rPr>
                <w:noProof/>
                <w:webHidden/>
              </w:rPr>
              <w:t>197</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39" w:history="1">
            <w:r w:rsidRPr="0070792A">
              <w:rPr>
                <w:rStyle w:val="Hypertextovodkaz"/>
                <w:noProof/>
              </w:rPr>
              <w:t>3.9.3</w:t>
            </w:r>
            <w:r>
              <w:rPr>
                <w:rFonts w:asciiTheme="minorHAnsi" w:eastAsiaTheme="minorEastAsia" w:hAnsiTheme="minorHAnsi" w:cstheme="minorBidi"/>
                <w:noProof/>
                <w:szCs w:val="22"/>
                <w:lang w:eastAsia="cs-CZ"/>
              </w:rPr>
              <w:tab/>
            </w:r>
            <w:r w:rsidRPr="0070792A">
              <w:rPr>
                <w:rStyle w:val="Hypertextovodkaz"/>
                <w:noProof/>
              </w:rPr>
              <w:t>Zajištění udržitelnosti inovace</w:t>
            </w:r>
            <w:r>
              <w:rPr>
                <w:noProof/>
                <w:webHidden/>
              </w:rPr>
              <w:tab/>
            </w:r>
            <w:r>
              <w:rPr>
                <w:noProof/>
                <w:webHidden/>
              </w:rPr>
              <w:fldChar w:fldCharType="begin"/>
            </w:r>
            <w:r>
              <w:rPr>
                <w:noProof/>
                <w:webHidden/>
              </w:rPr>
              <w:instrText xml:space="preserve"> PAGEREF _Toc430006539 \h </w:instrText>
            </w:r>
            <w:r>
              <w:rPr>
                <w:noProof/>
                <w:webHidden/>
              </w:rPr>
            </w:r>
            <w:r>
              <w:rPr>
                <w:noProof/>
                <w:webHidden/>
              </w:rPr>
              <w:fldChar w:fldCharType="separate"/>
            </w:r>
            <w:r>
              <w:rPr>
                <w:noProof/>
                <w:webHidden/>
              </w:rPr>
              <w:t>198</w:t>
            </w:r>
            <w:r>
              <w:rPr>
                <w:noProof/>
                <w:webHidden/>
              </w:rPr>
              <w:fldChar w:fldCharType="end"/>
            </w:r>
          </w:hyperlink>
        </w:p>
        <w:p w:rsidR="00D53CB0" w:rsidRDefault="00D53CB0">
          <w:pPr>
            <w:pStyle w:val="Obsah2"/>
            <w:tabs>
              <w:tab w:val="left" w:pos="1100"/>
              <w:tab w:val="right" w:leader="dot" w:pos="9062"/>
            </w:tabs>
            <w:rPr>
              <w:rFonts w:asciiTheme="minorHAnsi" w:eastAsiaTheme="minorEastAsia" w:hAnsiTheme="minorHAnsi" w:cstheme="minorBidi"/>
              <w:noProof/>
              <w:szCs w:val="22"/>
              <w:lang w:eastAsia="cs-CZ"/>
            </w:rPr>
          </w:pPr>
          <w:hyperlink w:anchor="_Toc430006540" w:history="1">
            <w:r w:rsidRPr="0070792A">
              <w:rPr>
                <w:rStyle w:val="Hypertextovodkaz"/>
                <w:noProof/>
              </w:rPr>
              <w:t>3.10</w:t>
            </w:r>
            <w:r>
              <w:rPr>
                <w:rFonts w:asciiTheme="minorHAnsi" w:eastAsiaTheme="minorEastAsia" w:hAnsiTheme="minorHAnsi" w:cstheme="minorBidi"/>
                <w:noProof/>
                <w:szCs w:val="22"/>
                <w:lang w:eastAsia="cs-CZ"/>
              </w:rPr>
              <w:tab/>
            </w:r>
            <w:r w:rsidRPr="0070792A">
              <w:rPr>
                <w:rStyle w:val="Hypertextovodkaz"/>
                <w:noProof/>
              </w:rPr>
              <w:t>Udržení stávající situace ve vyhovujících oblastech</w:t>
            </w:r>
            <w:r>
              <w:rPr>
                <w:noProof/>
                <w:webHidden/>
              </w:rPr>
              <w:tab/>
            </w:r>
            <w:r>
              <w:rPr>
                <w:noProof/>
                <w:webHidden/>
              </w:rPr>
              <w:fldChar w:fldCharType="begin"/>
            </w:r>
            <w:r>
              <w:rPr>
                <w:noProof/>
                <w:webHidden/>
              </w:rPr>
              <w:instrText xml:space="preserve"> PAGEREF _Toc430006540 \h </w:instrText>
            </w:r>
            <w:r>
              <w:rPr>
                <w:noProof/>
                <w:webHidden/>
              </w:rPr>
            </w:r>
            <w:r>
              <w:rPr>
                <w:noProof/>
                <w:webHidden/>
              </w:rPr>
              <w:fldChar w:fldCharType="separate"/>
            </w:r>
            <w:r>
              <w:rPr>
                <w:noProof/>
                <w:webHidden/>
              </w:rPr>
              <w:t>199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41" w:history="1">
            <w:r w:rsidRPr="0070792A">
              <w:rPr>
                <w:rStyle w:val="Hypertextovodkaz"/>
                <w:noProof/>
              </w:rPr>
              <w:t>3.10.1</w:t>
            </w:r>
            <w:r>
              <w:rPr>
                <w:rFonts w:asciiTheme="minorHAnsi" w:eastAsiaTheme="minorEastAsia" w:hAnsiTheme="minorHAnsi" w:cstheme="minorBidi"/>
                <w:noProof/>
                <w:szCs w:val="22"/>
                <w:lang w:eastAsia="cs-CZ"/>
              </w:rPr>
              <w:tab/>
            </w:r>
            <w:r w:rsidRPr="0070792A">
              <w:rPr>
                <w:rStyle w:val="Hypertextovodkaz"/>
                <w:noProof/>
              </w:rPr>
              <w:t>Technický stav, funkčnost infrastruktury a pořádek v obcích</w:t>
            </w:r>
            <w:r>
              <w:rPr>
                <w:noProof/>
                <w:webHidden/>
              </w:rPr>
              <w:tab/>
            </w:r>
            <w:r>
              <w:rPr>
                <w:noProof/>
                <w:webHidden/>
              </w:rPr>
              <w:fldChar w:fldCharType="begin"/>
            </w:r>
            <w:r>
              <w:rPr>
                <w:noProof/>
                <w:webHidden/>
              </w:rPr>
              <w:instrText xml:space="preserve"> PAGEREF _Toc430006541 \h </w:instrText>
            </w:r>
            <w:r>
              <w:rPr>
                <w:noProof/>
                <w:webHidden/>
              </w:rPr>
            </w:r>
            <w:r>
              <w:rPr>
                <w:noProof/>
                <w:webHidden/>
              </w:rPr>
              <w:fldChar w:fldCharType="separate"/>
            </w:r>
            <w:r>
              <w:rPr>
                <w:noProof/>
                <w:webHidden/>
              </w:rPr>
              <w:t>199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42" w:history="1">
            <w:r w:rsidRPr="0070792A">
              <w:rPr>
                <w:rStyle w:val="Hypertextovodkaz"/>
                <w:noProof/>
              </w:rPr>
              <w:t>3.10.2</w:t>
            </w:r>
            <w:r>
              <w:rPr>
                <w:rFonts w:asciiTheme="minorHAnsi" w:eastAsiaTheme="minorEastAsia" w:hAnsiTheme="minorHAnsi" w:cstheme="minorBidi"/>
                <w:noProof/>
                <w:szCs w:val="22"/>
                <w:lang w:eastAsia="cs-CZ"/>
              </w:rPr>
              <w:tab/>
            </w:r>
            <w:r w:rsidRPr="0070792A">
              <w:rPr>
                <w:rStyle w:val="Hypertextovodkaz"/>
                <w:noProof/>
              </w:rPr>
              <w:t>Dopravní obslužnost, infrastruktura a služby</w:t>
            </w:r>
            <w:r>
              <w:rPr>
                <w:noProof/>
                <w:webHidden/>
              </w:rPr>
              <w:tab/>
            </w:r>
            <w:r>
              <w:rPr>
                <w:noProof/>
                <w:webHidden/>
              </w:rPr>
              <w:fldChar w:fldCharType="begin"/>
            </w:r>
            <w:r>
              <w:rPr>
                <w:noProof/>
                <w:webHidden/>
              </w:rPr>
              <w:instrText xml:space="preserve"> PAGEREF _Toc430006542 \h </w:instrText>
            </w:r>
            <w:r>
              <w:rPr>
                <w:noProof/>
                <w:webHidden/>
              </w:rPr>
            </w:r>
            <w:r>
              <w:rPr>
                <w:noProof/>
                <w:webHidden/>
              </w:rPr>
              <w:fldChar w:fldCharType="separate"/>
            </w:r>
            <w:r>
              <w:rPr>
                <w:noProof/>
                <w:webHidden/>
              </w:rPr>
              <w:t>199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43" w:history="1">
            <w:r w:rsidRPr="0070792A">
              <w:rPr>
                <w:rStyle w:val="Hypertextovodkaz"/>
                <w:noProof/>
              </w:rPr>
              <w:t>3.10.3</w:t>
            </w:r>
            <w:r>
              <w:rPr>
                <w:rFonts w:asciiTheme="minorHAnsi" w:eastAsiaTheme="minorEastAsia" w:hAnsiTheme="minorHAnsi" w:cstheme="minorBidi"/>
                <w:noProof/>
                <w:szCs w:val="22"/>
                <w:lang w:eastAsia="cs-CZ"/>
              </w:rPr>
              <w:tab/>
            </w:r>
            <w:r w:rsidRPr="0070792A">
              <w:rPr>
                <w:rStyle w:val="Hypertextovodkaz"/>
                <w:noProof/>
              </w:rPr>
              <w:t>Udržení škol vč. MŠ a zvýšení souladu s životem domácností</w:t>
            </w:r>
            <w:r>
              <w:rPr>
                <w:noProof/>
                <w:webHidden/>
              </w:rPr>
              <w:tab/>
            </w:r>
            <w:r>
              <w:rPr>
                <w:noProof/>
                <w:webHidden/>
              </w:rPr>
              <w:fldChar w:fldCharType="begin"/>
            </w:r>
            <w:r>
              <w:rPr>
                <w:noProof/>
                <w:webHidden/>
              </w:rPr>
              <w:instrText xml:space="preserve"> PAGEREF _Toc430006543 \h </w:instrText>
            </w:r>
            <w:r>
              <w:rPr>
                <w:noProof/>
                <w:webHidden/>
              </w:rPr>
            </w:r>
            <w:r>
              <w:rPr>
                <w:noProof/>
                <w:webHidden/>
              </w:rPr>
              <w:fldChar w:fldCharType="separate"/>
            </w:r>
            <w:r>
              <w:rPr>
                <w:noProof/>
                <w:webHidden/>
              </w:rPr>
              <w:t>199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44" w:history="1">
            <w:r w:rsidRPr="0070792A">
              <w:rPr>
                <w:rStyle w:val="Hypertextovodkaz"/>
                <w:noProof/>
              </w:rPr>
              <w:t>3.10.4</w:t>
            </w:r>
            <w:r>
              <w:rPr>
                <w:rFonts w:asciiTheme="minorHAnsi" w:eastAsiaTheme="minorEastAsia" w:hAnsiTheme="minorHAnsi" w:cstheme="minorBidi"/>
                <w:noProof/>
                <w:szCs w:val="22"/>
                <w:lang w:eastAsia="cs-CZ"/>
              </w:rPr>
              <w:tab/>
            </w:r>
            <w:r w:rsidRPr="0070792A">
              <w:rPr>
                <w:rStyle w:val="Hypertextovodkaz"/>
                <w:noProof/>
              </w:rPr>
              <w:t>Chod místních samospráv a aktivita malých obcí</w:t>
            </w:r>
            <w:r>
              <w:rPr>
                <w:noProof/>
                <w:webHidden/>
              </w:rPr>
              <w:tab/>
            </w:r>
            <w:r>
              <w:rPr>
                <w:noProof/>
                <w:webHidden/>
              </w:rPr>
              <w:fldChar w:fldCharType="begin"/>
            </w:r>
            <w:r>
              <w:rPr>
                <w:noProof/>
                <w:webHidden/>
              </w:rPr>
              <w:instrText xml:space="preserve"> PAGEREF _Toc430006544 \h </w:instrText>
            </w:r>
            <w:r>
              <w:rPr>
                <w:noProof/>
                <w:webHidden/>
              </w:rPr>
            </w:r>
            <w:r>
              <w:rPr>
                <w:noProof/>
                <w:webHidden/>
              </w:rPr>
              <w:fldChar w:fldCharType="separate"/>
            </w:r>
            <w:r>
              <w:rPr>
                <w:noProof/>
                <w:webHidden/>
              </w:rPr>
              <w:t>200</w:t>
            </w:r>
            <w:r>
              <w:rPr>
                <w:noProof/>
                <w:webHidden/>
              </w:rPr>
              <w:fldChar w:fldCharType="end"/>
            </w:r>
          </w:hyperlink>
        </w:p>
        <w:p w:rsidR="00D53CB0" w:rsidRDefault="00D53CB0">
          <w:pPr>
            <w:pStyle w:val="Obsah2"/>
            <w:tabs>
              <w:tab w:val="left" w:pos="1100"/>
              <w:tab w:val="right" w:leader="dot" w:pos="9062"/>
            </w:tabs>
            <w:rPr>
              <w:rFonts w:asciiTheme="minorHAnsi" w:eastAsiaTheme="minorEastAsia" w:hAnsiTheme="minorHAnsi" w:cstheme="minorBidi"/>
              <w:noProof/>
              <w:szCs w:val="22"/>
              <w:lang w:eastAsia="cs-CZ"/>
            </w:rPr>
          </w:pPr>
          <w:hyperlink w:anchor="_Toc430006545" w:history="1">
            <w:r w:rsidRPr="0070792A">
              <w:rPr>
                <w:rStyle w:val="Hypertextovodkaz"/>
                <w:noProof/>
              </w:rPr>
              <w:t>3.11</w:t>
            </w:r>
            <w:r>
              <w:rPr>
                <w:rFonts w:asciiTheme="minorHAnsi" w:eastAsiaTheme="minorEastAsia" w:hAnsiTheme="minorHAnsi" w:cstheme="minorBidi"/>
                <w:noProof/>
                <w:szCs w:val="22"/>
                <w:lang w:eastAsia="cs-CZ"/>
              </w:rPr>
              <w:tab/>
            </w:r>
            <w:r w:rsidRPr="0070792A">
              <w:rPr>
                <w:rStyle w:val="Hypertextovodkaz"/>
                <w:noProof/>
              </w:rPr>
              <w:t>Předpokládaný způsob financování projektů</w:t>
            </w:r>
            <w:r>
              <w:rPr>
                <w:noProof/>
                <w:webHidden/>
              </w:rPr>
              <w:tab/>
            </w:r>
            <w:r>
              <w:rPr>
                <w:noProof/>
                <w:webHidden/>
              </w:rPr>
              <w:fldChar w:fldCharType="begin"/>
            </w:r>
            <w:r>
              <w:rPr>
                <w:noProof/>
                <w:webHidden/>
              </w:rPr>
              <w:instrText xml:space="preserve"> PAGEREF _Toc430006545 \h </w:instrText>
            </w:r>
            <w:r>
              <w:rPr>
                <w:noProof/>
                <w:webHidden/>
              </w:rPr>
            </w:r>
            <w:r>
              <w:rPr>
                <w:noProof/>
                <w:webHidden/>
              </w:rPr>
              <w:fldChar w:fldCharType="separate"/>
            </w:r>
            <w:r>
              <w:rPr>
                <w:noProof/>
                <w:webHidden/>
              </w:rPr>
              <w:t>200</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546" w:history="1">
            <w:r w:rsidRPr="0070792A">
              <w:rPr>
                <w:rStyle w:val="Hypertextovodkaz"/>
                <w:noProof/>
              </w:rPr>
              <w:t>4</w:t>
            </w:r>
            <w:r>
              <w:rPr>
                <w:rFonts w:asciiTheme="minorHAnsi" w:eastAsiaTheme="minorEastAsia" w:hAnsiTheme="minorHAnsi" w:cstheme="minorBidi"/>
                <w:noProof/>
                <w:szCs w:val="22"/>
                <w:lang w:eastAsia="cs-CZ"/>
              </w:rPr>
              <w:tab/>
            </w:r>
            <w:r w:rsidRPr="0070792A">
              <w:rPr>
                <w:rStyle w:val="Hypertextovodkaz"/>
                <w:noProof/>
              </w:rPr>
              <w:t>Implementační část</w:t>
            </w:r>
            <w:r>
              <w:rPr>
                <w:noProof/>
                <w:webHidden/>
              </w:rPr>
              <w:tab/>
            </w:r>
            <w:r>
              <w:rPr>
                <w:noProof/>
                <w:webHidden/>
              </w:rPr>
              <w:fldChar w:fldCharType="begin"/>
            </w:r>
            <w:r>
              <w:rPr>
                <w:noProof/>
                <w:webHidden/>
              </w:rPr>
              <w:instrText xml:space="preserve"> PAGEREF _Toc430006546 \h </w:instrText>
            </w:r>
            <w:r>
              <w:rPr>
                <w:noProof/>
                <w:webHidden/>
              </w:rPr>
            </w:r>
            <w:r>
              <w:rPr>
                <w:noProof/>
                <w:webHidden/>
              </w:rPr>
              <w:fldChar w:fldCharType="separate"/>
            </w:r>
            <w:r>
              <w:rPr>
                <w:noProof/>
                <w:webHidden/>
              </w:rPr>
              <w:t>203</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47" w:history="1">
            <w:r w:rsidRPr="0070792A">
              <w:rPr>
                <w:rStyle w:val="Hypertextovodkaz"/>
                <w:noProof/>
              </w:rPr>
              <w:t>4.1</w:t>
            </w:r>
            <w:r>
              <w:rPr>
                <w:rFonts w:asciiTheme="minorHAnsi" w:eastAsiaTheme="minorEastAsia" w:hAnsiTheme="minorHAnsi" w:cstheme="minorBidi"/>
                <w:noProof/>
                <w:szCs w:val="22"/>
                <w:lang w:eastAsia="cs-CZ"/>
              </w:rPr>
              <w:tab/>
            </w:r>
            <w:r w:rsidRPr="0070792A">
              <w:rPr>
                <w:rStyle w:val="Hypertextovodkaz"/>
                <w:noProof/>
              </w:rPr>
              <w:t>Podmínky kladené na MAS</w:t>
            </w:r>
            <w:r>
              <w:rPr>
                <w:noProof/>
                <w:webHidden/>
              </w:rPr>
              <w:tab/>
            </w:r>
            <w:r>
              <w:rPr>
                <w:noProof/>
                <w:webHidden/>
              </w:rPr>
              <w:fldChar w:fldCharType="begin"/>
            </w:r>
            <w:r>
              <w:rPr>
                <w:noProof/>
                <w:webHidden/>
              </w:rPr>
              <w:instrText xml:space="preserve"> PAGEREF _Toc430006547 \h </w:instrText>
            </w:r>
            <w:r>
              <w:rPr>
                <w:noProof/>
                <w:webHidden/>
              </w:rPr>
            </w:r>
            <w:r>
              <w:rPr>
                <w:noProof/>
                <w:webHidden/>
              </w:rPr>
              <w:fldChar w:fldCharType="separate"/>
            </w:r>
            <w:r>
              <w:rPr>
                <w:noProof/>
                <w:webHidden/>
              </w:rPr>
              <w:t>203</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48" w:history="1">
            <w:r w:rsidRPr="0070792A">
              <w:rPr>
                <w:rStyle w:val="Hypertextovodkaz"/>
                <w:noProof/>
              </w:rPr>
              <w:t>4.2</w:t>
            </w:r>
            <w:r>
              <w:rPr>
                <w:rFonts w:asciiTheme="minorHAnsi" w:eastAsiaTheme="minorEastAsia" w:hAnsiTheme="minorHAnsi" w:cstheme="minorBidi"/>
                <w:noProof/>
                <w:szCs w:val="22"/>
                <w:lang w:eastAsia="cs-CZ"/>
              </w:rPr>
              <w:tab/>
            </w:r>
            <w:r w:rsidRPr="0070792A">
              <w:rPr>
                <w:rStyle w:val="Hypertextovodkaz"/>
                <w:noProof/>
              </w:rPr>
              <w:t>Implementace v podmínkách MAS Litomyšlsko o.p.s.</w:t>
            </w:r>
            <w:r>
              <w:rPr>
                <w:noProof/>
                <w:webHidden/>
              </w:rPr>
              <w:tab/>
            </w:r>
            <w:r>
              <w:rPr>
                <w:noProof/>
                <w:webHidden/>
              </w:rPr>
              <w:fldChar w:fldCharType="begin"/>
            </w:r>
            <w:r>
              <w:rPr>
                <w:noProof/>
                <w:webHidden/>
              </w:rPr>
              <w:instrText xml:space="preserve"> PAGEREF _Toc430006548 \h </w:instrText>
            </w:r>
            <w:r>
              <w:rPr>
                <w:noProof/>
                <w:webHidden/>
              </w:rPr>
            </w:r>
            <w:r>
              <w:rPr>
                <w:noProof/>
                <w:webHidden/>
              </w:rPr>
              <w:fldChar w:fldCharType="separate"/>
            </w:r>
            <w:r>
              <w:rPr>
                <w:noProof/>
                <w:webHidden/>
              </w:rPr>
              <w:t>209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49" w:history="1">
            <w:r w:rsidRPr="0070792A">
              <w:rPr>
                <w:rStyle w:val="Hypertextovodkaz"/>
                <w:noProof/>
                <w:lang w:eastAsia="cs-CZ"/>
              </w:rPr>
              <w:t>4.2.1</w:t>
            </w:r>
            <w:r>
              <w:rPr>
                <w:rFonts w:asciiTheme="minorHAnsi" w:eastAsiaTheme="minorEastAsia" w:hAnsiTheme="minorHAnsi" w:cstheme="minorBidi"/>
                <w:noProof/>
                <w:szCs w:val="22"/>
                <w:lang w:eastAsia="cs-CZ"/>
              </w:rPr>
              <w:tab/>
            </w:r>
            <w:r w:rsidRPr="0070792A">
              <w:rPr>
                <w:rStyle w:val="Hypertextovodkaz"/>
                <w:noProof/>
              </w:rPr>
              <w:t xml:space="preserve">Podmínky definované zákonem č. 248/1995 Sb. </w:t>
            </w:r>
            <w:r w:rsidRPr="0070792A">
              <w:rPr>
                <w:rStyle w:val="Hypertextovodkaz"/>
                <w:noProof/>
                <w:lang w:eastAsia="cs-CZ"/>
              </w:rPr>
              <w:t>o obecně prospěšných společnostech</w:t>
            </w:r>
            <w:r>
              <w:rPr>
                <w:noProof/>
                <w:webHidden/>
              </w:rPr>
              <w:tab/>
            </w:r>
            <w:r>
              <w:rPr>
                <w:noProof/>
                <w:webHidden/>
              </w:rPr>
              <w:fldChar w:fldCharType="begin"/>
            </w:r>
            <w:r>
              <w:rPr>
                <w:noProof/>
                <w:webHidden/>
              </w:rPr>
              <w:instrText xml:space="preserve"> PAGEREF _Toc430006549 \h </w:instrText>
            </w:r>
            <w:r>
              <w:rPr>
                <w:noProof/>
                <w:webHidden/>
              </w:rPr>
            </w:r>
            <w:r>
              <w:rPr>
                <w:noProof/>
                <w:webHidden/>
              </w:rPr>
              <w:fldChar w:fldCharType="separate"/>
            </w:r>
            <w:r>
              <w:rPr>
                <w:noProof/>
                <w:webHidden/>
              </w:rPr>
              <w:t>209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0" w:history="1">
            <w:r w:rsidRPr="0070792A">
              <w:rPr>
                <w:rStyle w:val="Hypertextovodkaz"/>
                <w:noProof/>
                <w:lang w:eastAsia="cs-CZ"/>
              </w:rPr>
              <w:t>4.2.2</w:t>
            </w:r>
            <w:r>
              <w:rPr>
                <w:rFonts w:asciiTheme="minorHAnsi" w:eastAsiaTheme="minorEastAsia" w:hAnsiTheme="minorHAnsi" w:cstheme="minorBidi"/>
                <w:noProof/>
                <w:szCs w:val="22"/>
                <w:lang w:eastAsia="cs-CZ"/>
              </w:rPr>
              <w:tab/>
            </w:r>
            <w:r w:rsidRPr="0070792A">
              <w:rPr>
                <w:rStyle w:val="Hypertextovodkaz"/>
                <w:noProof/>
                <w:lang w:eastAsia="cs-CZ"/>
              </w:rPr>
              <w:t xml:space="preserve">Podmínky dané </w:t>
            </w:r>
            <w:r w:rsidRPr="0070792A">
              <w:rPr>
                <w:rStyle w:val="Hypertextovodkaz"/>
                <w:noProof/>
              </w:rPr>
              <w:t>METODIKOU PRO STANDARDIZACI MÍSTNÍCH AKČNÍCH SKUPIN V PROGRAMOVÉM OBDOBÍ 2014-2020</w:t>
            </w:r>
            <w:r>
              <w:rPr>
                <w:noProof/>
                <w:webHidden/>
              </w:rPr>
              <w:tab/>
            </w:r>
            <w:r>
              <w:rPr>
                <w:noProof/>
                <w:webHidden/>
              </w:rPr>
              <w:fldChar w:fldCharType="begin"/>
            </w:r>
            <w:r>
              <w:rPr>
                <w:noProof/>
                <w:webHidden/>
              </w:rPr>
              <w:instrText xml:space="preserve"> PAGEREF _Toc430006550 \h </w:instrText>
            </w:r>
            <w:r>
              <w:rPr>
                <w:noProof/>
                <w:webHidden/>
              </w:rPr>
            </w:r>
            <w:r>
              <w:rPr>
                <w:noProof/>
                <w:webHidden/>
              </w:rPr>
              <w:fldChar w:fldCharType="separate"/>
            </w:r>
            <w:r>
              <w:rPr>
                <w:noProof/>
                <w:webHidden/>
              </w:rPr>
              <w:t>210</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1" w:history="1">
            <w:r w:rsidRPr="0070792A">
              <w:rPr>
                <w:rStyle w:val="Hypertextovodkaz"/>
                <w:noProof/>
              </w:rPr>
              <w:t>4.2.3</w:t>
            </w:r>
            <w:r>
              <w:rPr>
                <w:rFonts w:asciiTheme="minorHAnsi" w:eastAsiaTheme="minorEastAsia" w:hAnsiTheme="minorHAnsi" w:cstheme="minorBidi"/>
                <w:noProof/>
                <w:szCs w:val="22"/>
                <w:lang w:eastAsia="cs-CZ"/>
              </w:rPr>
              <w:tab/>
            </w:r>
            <w:r w:rsidRPr="0070792A">
              <w:rPr>
                <w:rStyle w:val="Hypertextovodkaz"/>
                <w:noProof/>
              </w:rPr>
              <w:t>Schéma organizační struktury se znázorněním změn</w:t>
            </w:r>
            <w:r>
              <w:rPr>
                <w:noProof/>
                <w:webHidden/>
              </w:rPr>
              <w:tab/>
            </w:r>
            <w:r>
              <w:rPr>
                <w:noProof/>
                <w:webHidden/>
              </w:rPr>
              <w:fldChar w:fldCharType="begin"/>
            </w:r>
            <w:r>
              <w:rPr>
                <w:noProof/>
                <w:webHidden/>
              </w:rPr>
              <w:instrText xml:space="preserve"> PAGEREF _Toc430006551 \h </w:instrText>
            </w:r>
            <w:r>
              <w:rPr>
                <w:noProof/>
                <w:webHidden/>
              </w:rPr>
            </w:r>
            <w:r>
              <w:rPr>
                <w:noProof/>
                <w:webHidden/>
              </w:rPr>
              <w:fldChar w:fldCharType="separate"/>
            </w:r>
            <w:r>
              <w:rPr>
                <w:noProof/>
                <w:webHidden/>
              </w:rPr>
              <w:t>211</w:t>
            </w:r>
            <w:r>
              <w:rPr>
                <w:noProof/>
                <w:webHidden/>
              </w:rPr>
              <w:fldChar w:fldCharType="end"/>
            </w:r>
          </w:hyperlink>
        </w:p>
        <w:p w:rsidR="00D53CB0" w:rsidRDefault="00D53CB0">
          <w:pPr>
            <w:pStyle w:val="Obsah2"/>
            <w:tabs>
              <w:tab w:val="left" w:pos="880"/>
              <w:tab w:val="right" w:leader="dot" w:pos="9062"/>
            </w:tabs>
            <w:rPr>
              <w:rFonts w:asciiTheme="minorHAnsi" w:eastAsiaTheme="minorEastAsia" w:hAnsiTheme="minorHAnsi" w:cstheme="minorBidi"/>
              <w:noProof/>
              <w:szCs w:val="22"/>
              <w:lang w:eastAsia="cs-CZ"/>
            </w:rPr>
          </w:pPr>
          <w:hyperlink w:anchor="_Toc430006552" w:history="1">
            <w:r w:rsidRPr="0070792A">
              <w:rPr>
                <w:rStyle w:val="Hypertextovodkaz"/>
                <w:noProof/>
              </w:rPr>
              <w:t>4.3</w:t>
            </w:r>
            <w:r>
              <w:rPr>
                <w:rFonts w:asciiTheme="minorHAnsi" w:eastAsiaTheme="minorEastAsia" w:hAnsiTheme="minorHAnsi" w:cstheme="minorBidi"/>
                <w:noProof/>
                <w:szCs w:val="22"/>
                <w:lang w:eastAsia="cs-CZ"/>
              </w:rPr>
              <w:tab/>
            </w:r>
            <w:r w:rsidRPr="0070792A">
              <w:rPr>
                <w:rStyle w:val="Hypertextovodkaz"/>
                <w:noProof/>
              </w:rPr>
              <w:t>Implementační dokumenty</w:t>
            </w:r>
            <w:r>
              <w:rPr>
                <w:noProof/>
                <w:webHidden/>
              </w:rPr>
              <w:tab/>
            </w:r>
            <w:r>
              <w:rPr>
                <w:noProof/>
                <w:webHidden/>
              </w:rPr>
              <w:fldChar w:fldCharType="begin"/>
            </w:r>
            <w:r>
              <w:rPr>
                <w:noProof/>
                <w:webHidden/>
              </w:rPr>
              <w:instrText xml:space="preserve"> PAGEREF _Toc430006552 \h </w:instrText>
            </w:r>
            <w:r>
              <w:rPr>
                <w:noProof/>
                <w:webHidden/>
              </w:rPr>
            </w:r>
            <w:r>
              <w:rPr>
                <w:noProof/>
                <w:webHidden/>
              </w:rPr>
              <w:fldChar w:fldCharType="separate"/>
            </w:r>
            <w:r>
              <w:rPr>
                <w:noProof/>
                <w:webHidden/>
              </w:rPr>
              <w:t>212</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3" w:history="1">
            <w:r w:rsidRPr="0070792A">
              <w:rPr>
                <w:rStyle w:val="Hypertextovodkaz"/>
                <w:noProof/>
              </w:rPr>
              <w:t>4.3.1</w:t>
            </w:r>
            <w:r>
              <w:rPr>
                <w:rFonts w:asciiTheme="minorHAnsi" w:eastAsiaTheme="minorEastAsia" w:hAnsiTheme="minorHAnsi" w:cstheme="minorBidi"/>
                <w:noProof/>
                <w:szCs w:val="22"/>
                <w:lang w:eastAsia="cs-CZ"/>
              </w:rPr>
              <w:tab/>
            </w:r>
            <w:r w:rsidRPr="0070792A">
              <w:rPr>
                <w:rStyle w:val="Hypertextovodkaz"/>
                <w:noProof/>
              </w:rPr>
              <w:t>Vyhlašování výzvy, příjem a kontrola žádostí</w:t>
            </w:r>
            <w:r>
              <w:rPr>
                <w:noProof/>
                <w:webHidden/>
              </w:rPr>
              <w:tab/>
            </w:r>
            <w:r>
              <w:rPr>
                <w:noProof/>
                <w:webHidden/>
              </w:rPr>
              <w:fldChar w:fldCharType="begin"/>
            </w:r>
            <w:r>
              <w:rPr>
                <w:noProof/>
                <w:webHidden/>
              </w:rPr>
              <w:instrText xml:space="preserve"> PAGEREF _Toc430006553 \h </w:instrText>
            </w:r>
            <w:r>
              <w:rPr>
                <w:noProof/>
                <w:webHidden/>
              </w:rPr>
            </w:r>
            <w:r>
              <w:rPr>
                <w:noProof/>
                <w:webHidden/>
              </w:rPr>
              <w:fldChar w:fldCharType="separate"/>
            </w:r>
            <w:r>
              <w:rPr>
                <w:noProof/>
                <w:webHidden/>
              </w:rPr>
              <w:t>212</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4" w:history="1">
            <w:r w:rsidRPr="0070792A">
              <w:rPr>
                <w:rStyle w:val="Hypertextovodkaz"/>
                <w:noProof/>
              </w:rPr>
              <w:t>4.3.2</w:t>
            </w:r>
            <w:r>
              <w:rPr>
                <w:rFonts w:asciiTheme="minorHAnsi" w:eastAsiaTheme="minorEastAsia" w:hAnsiTheme="minorHAnsi" w:cstheme="minorBidi"/>
                <w:noProof/>
                <w:szCs w:val="22"/>
                <w:lang w:eastAsia="cs-CZ"/>
              </w:rPr>
              <w:tab/>
            </w:r>
            <w:r w:rsidRPr="0070792A">
              <w:rPr>
                <w:rStyle w:val="Hypertextovodkaz"/>
                <w:noProof/>
              </w:rPr>
              <w:t>Výběr projektů</w:t>
            </w:r>
            <w:r>
              <w:rPr>
                <w:noProof/>
                <w:webHidden/>
              </w:rPr>
              <w:tab/>
            </w:r>
            <w:r>
              <w:rPr>
                <w:noProof/>
                <w:webHidden/>
              </w:rPr>
              <w:fldChar w:fldCharType="begin"/>
            </w:r>
            <w:r>
              <w:rPr>
                <w:noProof/>
                <w:webHidden/>
              </w:rPr>
              <w:instrText xml:space="preserve"> PAGEREF _Toc430006554 \h </w:instrText>
            </w:r>
            <w:r>
              <w:rPr>
                <w:noProof/>
                <w:webHidden/>
              </w:rPr>
            </w:r>
            <w:r>
              <w:rPr>
                <w:noProof/>
                <w:webHidden/>
              </w:rPr>
              <w:fldChar w:fldCharType="separate"/>
            </w:r>
            <w:r>
              <w:rPr>
                <w:noProof/>
                <w:webHidden/>
              </w:rPr>
              <w:t>215</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5" w:history="1">
            <w:r w:rsidRPr="0070792A">
              <w:rPr>
                <w:rStyle w:val="Hypertextovodkaz"/>
                <w:noProof/>
              </w:rPr>
              <w:t>4.3.3</w:t>
            </w:r>
            <w:r>
              <w:rPr>
                <w:rFonts w:asciiTheme="minorHAnsi" w:eastAsiaTheme="minorEastAsia" w:hAnsiTheme="minorHAnsi" w:cstheme="minorBidi"/>
                <w:noProof/>
                <w:szCs w:val="22"/>
                <w:lang w:eastAsia="cs-CZ"/>
              </w:rPr>
              <w:tab/>
            </w:r>
            <w:r w:rsidRPr="0070792A">
              <w:rPr>
                <w:rStyle w:val="Hypertextovodkaz"/>
                <w:noProof/>
              </w:rPr>
              <w:t>Kontrola žadatelů a realizace projektů</w:t>
            </w:r>
            <w:r>
              <w:rPr>
                <w:noProof/>
                <w:webHidden/>
              </w:rPr>
              <w:tab/>
            </w:r>
            <w:r>
              <w:rPr>
                <w:noProof/>
                <w:webHidden/>
              </w:rPr>
              <w:fldChar w:fldCharType="begin"/>
            </w:r>
            <w:r>
              <w:rPr>
                <w:noProof/>
                <w:webHidden/>
              </w:rPr>
              <w:instrText xml:space="preserve"> PAGEREF _Toc430006555 \h </w:instrText>
            </w:r>
            <w:r>
              <w:rPr>
                <w:noProof/>
                <w:webHidden/>
              </w:rPr>
            </w:r>
            <w:r>
              <w:rPr>
                <w:noProof/>
                <w:webHidden/>
              </w:rPr>
              <w:fldChar w:fldCharType="separate"/>
            </w:r>
            <w:r>
              <w:rPr>
                <w:noProof/>
                <w:webHidden/>
              </w:rPr>
              <w:t>217</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6" w:history="1">
            <w:r w:rsidRPr="0070792A">
              <w:rPr>
                <w:rStyle w:val="Hypertextovodkaz"/>
                <w:noProof/>
              </w:rPr>
              <w:t>4.3.4</w:t>
            </w:r>
            <w:r>
              <w:rPr>
                <w:rFonts w:asciiTheme="minorHAnsi" w:eastAsiaTheme="minorEastAsia" w:hAnsiTheme="minorHAnsi" w:cstheme="minorBidi"/>
                <w:noProof/>
                <w:szCs w:val="22"/>
                <w:lang w:eastAsia="cs-CZ"/>
              </w:rPr>
              <w:tab/>
            </w:r>
            <w:r w:rsidRPr="0070792A">
              <w:rPr>
                <w:rStyle w:val="Hypertextovodkaz"/>
                <w:noProof/>
              </w:rPr>
              <w:t>Monitoring</w:t>
            </w:r>
            <w:r>
              <w:rPr>
                <w:noProof/>
                <w:webHidden/>
              </w:rPr>
              <w:tab/>
            </w:r>
            <w:r>
              <w:rPr>
                <w:noProof/>
                <w:webHidden/>
              </w:rPr>
              <w:fldChar w:fldCharType="begin"/>
            </w:r>
            <w:r>
              <w:rPr>
                <w:noProof/>
                <w:webHidden/>
              </w:rPr>
              <w:instrText xml:space="preserve"> PAGEREF _Toc430006556 \h </w:instrText>
            </w:r>
            <w:r>
              <w:rPr>
                <w:noProof/>
                <w:webHidden/>
              </w:rPr>
            </w:r>
            <w:r>
              <w:rPr>
                <w:noProof/>
                <w:webHidden/>
              </w:rPr>
              <w:fldChar w:fldCharType="separate"/>
            </w:r>
            <w:r>
              <w:rPr>
                <w:noProof/>
                <w:webHidden/>
              </w:rPr>
              <w:t>219</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7" w:history="1">
            <w:r w:rsidRPr="0070792A">
              <w:rPr>
                <w:rStyle w:val="Hypertextovodkaz"/>
                <w:noProof/>
              </w:rPr>
              <w:t>4.3.5</w:t>
            </w:r>
            <w:r>
              <w:rPr>
                <w:rFonts w:asciiTheme="minorHAnsi" w:eastAsiaTheme="minorEastAsia" w:hAnsiTheme="minorHAnsi" w:cstheme="minorBidi"/>
                <w:noProof/>
                <w:szCs w:val="22"/>
                <w:lang w:eastAsia="cs-CZ"/>
              </w:rPr>
              <w:tab/>
            </w:r>
            <w:r w:rsidRPr="0070792A">
              <w:rPr>
                <w:rStyle w:val="Hypertextovodkaz"/>
                <w:noProof/>
              </w:rPr>
              <w:t>Evaluace</w:t>
            </w:r>
            <w:r>
              <w:rPr>
                <w:noProof/>
                <w:webHidden/>
              </w:rPr>
              <w:tab/>
            </w:r>
            <w:r>
              <w:rPr>
                <w:noProof/>
                <w:webHidden/>
              </w:rPr>
              <w:fldChar w:fldCharType="begin"/>
            </w:r>
            <w:r>
              <w:rPr>
                <w:noProof/>
                <w:webHidden/>
              </w:rPr>
              <w:instrText xml:space="preserve"> PAGEREF _Toc430006557 \h </w:instrText>
            </w:r>
            <w:r>
              <w:rPr>
                <w:noProof/>
                <w:webHidden/>
              </w:rPr>
            </w:r>
            <w:r>
              <w:rPr>
                <w:noProof/>
                <w:webHidden/>
              </w:rPr>
              <w:fldChar w:fldCharType="separate"/>
            </w:r>
            <w:r>
              <w:rPr>
                <w:noProof/>
                <w:webHidden/>
              </w:rPr>
              <w:t>224</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8" w:history="1">
            <w:r w:rsidRPr="0070792A">
              <w:rPr>
                <w:rStyle w:val="Hypertextovodkaz"/>
                <w:noProof/>
              </w:rPr>
              <w:t>4.3.6</w:t>
            </w:r>
            <w:r>
              <w:rPr>
                <w:rFonts w:asciiTheme="minorHAnsi" w:eastAsiaTheme="minorEastAsia" w:hAnsiTheme="minorHAnsi" w:cstheme="minorBidi"/>
                <w:noProof/>
                <w:szCs w:val="22"/>
                <w:lang w:eastAsia="cs-CZ"/>
              </w:rPr>
              <w:tab/>
            </w:r>
            <w:r w:rsidRPr="0070792A">
              <w:rPr>
                <w:rStyle w:val="Hypertextovodkaz"/>
                <w:noProof/>
              </w:rPr>
              <w:t>Oběh účetních dokladů v organizaci</w:t>
            </w:r>
            <w:r>
              <w:rPr>
                <w:noProof/>
                <w:webHidden/>
              </w:rPr>
              <w:tab/>
            </w:r>
            <w:r>
              <w:rPr>
                <w:noProof/>
                <w:webHidden/>
              </w:rPr>
              <w:fldChar w:fldCharType="begin"/>
            </w:r>
            <w:r>
              <w:rPr>
                <w:noProof/>
                <w:webHidden/>
              </w:rPr>
              <w:instrText xml:space="preserve"> PAGEREF _Toc430006558 \h </w:instrText>
            </w:r>
            <w:r>
              <w:rPr>
                <w:noProof/>
                <w:webHidden/>
              </w:rPr>
            </w:r>
            <w:r>
              <w:rPr>
                <w:noProof/>
                <w:webHidden/>
              </w:rPr>
              <w:fldChar w:fldCharType="separate"/>
            </w:r>
            <w:r>
              <w:rPr>
                <w:noProof/>
                <w:webHidden/>
              </w:rPr>
              <w:t>228</w:t>
            </w:r>
            <w:r>
              <w:rPr>
                <w:noProof/>
                <w:webHidden/>
              </w:rPr>
              <w:fldChar w:fldCharType="end"/>
            </w:r>
          </w:hyperlink>
        </w:p>
        <w:p w:rsidR="00D53CB0" w:rsidRDefault="00D53CB0">
          <w:pPr>
            <w:pStyle w:val="Obsah3"/>
            <w:tabs>
              <w:tab w:val="left" w:pos="1320"/>
              <w:tab w:val="right" w:leader="dot" w:pos="9062"/>
            </w:tabs>
            <w:rPr>
              <w:rFonts w:asciiTheme="minorHAnsi" w:eastAsiaTheme="minorEastAsia" w:hAnsiTheme="minorHAnsi" w:cstheme="minorBidi"/>
              <w:noProof/>
              <w:szCs w:val="22"/>
              <w:lang w:eastAsia="cs-CZ"/>
            </w:rPr>
          </w:pPr>
          <w:hyperlink w:anchor="_Toc430006559" w:history="1">
            <w:r w:rsidRPr="0070792A">
              <w:rPr>
                <w:rStyle w:val="Hypertextovodkaz"/>
                <w:noProof/>
              </w:rPr>
              <w:t>4.3.7</w:t>
            </w:r>
            <w:r>
              <w:rPr>
                <w:rFonts w:asciiTheme="minorHAnsi" w:eastAsiaTheme="minorEastAsia" w:hAnsiTheme="minorHAnsi" w:cstheme="minorBidi"/>
                <w:noProof/>
                <w:szCs w:val="22"/>
                <w:lang w:eastAsia="cs-CZ"/>
              </w:rPr>
              <w:tab/>
            </w:r>
            <w:r w:rsidRPr="0070792A">
              <w:rPr>
                <w:rStyle w:val="Hypertextovodkaz"/>
                <w:noProof/>
              </w:rPr>
              <w:t>Pracovní skupina MAS Litomyšlsko</w:t>
            </w:r>
            <w:r>
              <w:rPr>
                <w:noProof/>
                <w:webHidden/>
              </w:rPr>
              <w:tab/>
            </w:r>
            <w:r>
              <w:rPr>
                <w:noProof/>
                <w:webHidden/>
              </w:rPr>
              <w:fldChar w:fldCharType="begin"/>
            </w:r>
            <w:r>
              <w:rPr>
                <w:noProof/>
                <w:webHidden/>
              </w:rPr>
              <w:instrText xml:space="preserve"> PAGEREF _Toc430006559 \h </w:instrText>
            </w:r>
            <w:r>
              <w:rPr>
                <w:noProof/>
                <w:webHidden/>
              </w:rPr>
            </w:r>
            <w:r>
              <w:rPr>
                <w:noProof/>
                <w:webHidden/>
              </w:rPr>
              <w:fldChar w:fldCharType="separate"/>
            </w:r>
            <w:r>
              <w:rPr>
                <w:noProof/>
                <w:webHidden/>
              </w:rPr>
              <w:t>229</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560" w:history="1">
            <w:r w:rsidRPr="0070792A">
              <w:rPr>
                <w:rStyle w:val="Hypertextovodkaz"/>
                <w:noProof/>
              </w:rPr>
              <w:t>5</w:t>
            </w:r>
            <w:r>
              <w:rPr>
                <w:rFonts w:asciiTheme="minorHAnsi" w:eastAsiaTheme="minorEastAsia" w:hAnsiTheme="minorHAnsi" w:cstheme="minorBidi"/>
                <w:noProof/>
                <w:szCs w:val="22"/>
                <w:lang w:eastAsia="cs-CZ"/>
              </w:rPr>
              <w:tab/>
            </w:r>
            <w:r w:rsidRPr="0070792A">
              <w:rPr>
                <w:rStyle w:val="Hypertextovodkaz"/>
                <w:noProof/>
              </w:rPr>
              <w:t>Povinné přílohy</w:t>
            </w:r>
            <w:r>
              <w:rPr>
                <w:noProof/>
                <w:webHidden/>
              </w:rPr>
              <w:tab/>
            </w:r>
            <w:r>
              <w:rPr>
                <w:noProof/>
                <w:webHidden/>
              </w:rPr>
              <w:fldChar w:fldCharType="begin"/>
            </w:r>
            <w:r>
              <w:rPr>
                <w:noProof/>
                <w:webHidden/>
              </w:rPr>
              <w:instrText xml:space="preserve"> PAGEREF _Toc430006560 \h </w:instrText>
            </w:r>
            <w:r>
              <w:rPr>
                <w:noProof/>
                <w:webHidden/>
              </w:rPr>
            </w:r>
            <w:r>
              <w:rPr>
                <w:noProof/>
                <w:webHidden/>
              </w:rPr>
              <w:fldChar w:fldCharType="separate"/>
            </w:r>
            <w:r>
              <w:rPr>
                <w:noProof/>
                <w:webHidden/>
              </w:rPr>
              <w:t>232</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561" w:history="1">
            <w:r w:rsidRPr="0070792A">
              <w:rPr>
                <w:rStyle w:val="Hypertextovodkaz"/>
                <w:noProof/>
              </w:rPr>
              <w:t>6</w:t>
            </w:r>
            <w:r>
              <w:rPr>
                <w:rFonts w:asciiTheme="minorHAnsi" w:eastAsiaTheme="minorEastAsia" w:hAnsiTheme="minorHAnsi" w:cstheme="minorBidi"/>
                <w:noProof/>
                <w:szCs w:val="22"/>
                <w:lang w:eastAsia="cs-CZ"/>
              </w:rPr>
              <w:tab/>
            </w:r>
            <w:r w:rsidRPr="0070792A">
              <w:rPr>
                <w:rStyle w:val="Hypertextovodkaz"/>
                <w:noProof/>
              </w:rPr>
              <w:t>Nepovinné přílohy</w:t>
            </w:r>
            <w:r>
              <w:rPr>
                <w:noProof/>
                <w:webHidden/>
              </w:rPr>
              <w:tab/>
            </w:r>
            <w:r>
              <w:rPr>
                <w:noProof/>
                <w:webHidden/>
              </w:rPr>
              <w:fldChar w:fldCharType="begin"/>
            </w:r>
            <w:r>
              <w:rPr>
                <w:noProof/>
                <w:webHidden/>
              </w:rPr>
              <w:instrText xml:space="preserve"> PAGEREF _Toc430006561 \h </w:instrText>
            </w:r>
            <w:r>
              <w:rPr>
                <w:noProof/>
                <w:webHidden/>
              </w:rPr>
            </w:r>
            <w:r>
              <w:rPr>
                <w:noProof/>
                <w:webHidden/>
              </w:rPr>
              <w:fldChar w:fldCharType="separate"/>
            </w:r>
            <w:r>
              <w:rPr>
                <w:noProof/>
                <w:webHidden/>
              </w:rPr>
              <w:t>233</w:t>
            </w:r>
            <w:r>
              <w:rPr>
                <w:noProof/>
                <w:webHidden/>
              </w:rPr>
              <w:fldChar w:fldCharType="end"/>
            </w:r>
          </w:hyperlink>
        </w:p>
        <w:p w:rsidR="00D53CB0" w:rsidRDefault="00D53CB0">
          <w:pPr>
            <w:pStyle w:val="Obsah1"/>
            <w:tabs>
              <w:tab w:val="left" w:pos="480"/>
              <w:tab w:val="right" w:leader="dot" w:pos="9062"/>
            </w:tabs>
            <w:rPr>
              <w:rFonts w:asciiTheme="minorHAnsi" w:eastAsiaTheme="minorEastAsia" w:hAnsiTheme="minorHAnsi" w:cstheme="minorBidi"/>
              <w:noProof/>
              <w:szCs w:val="22"/>
              <w:lang w:eastAsia="cs-CZ"/>
            </w:rPr>
          </w:pPr>
          <w:hyperlink w:anchor="_Toc430006562" w:history="1">
            <w:r w:rsidRPr="0070792A">
              <w:rPr>
                <w:rStyle w:val="Hypertextovodkaz"/>
                <w:noProof/>
              </w:rPr>
              <w:t>7</w:t>
            </w:r>
            <w:r>
              <w:rPr>
                <w:rFonts w:asciiTheme="minorHAnsi" w:eastAsiaTheme="minorEastAsia" w:hAnsiTheme="minorHAnsi" w:cstheme="minorBidi"/>
                <w:noProof/>
                <w:szCs w:val="22"/>
                <w:lang w:eastAsia="cs-CZ"/>
              </w:rPr>
              <w:tab/>
            </w:r>
            <w:r w:rsidRPr="0070792A">
              <w:rPr>
                <w:rStyle w:val="Hypertextovodkaz"/>
                <w:noProof/>
              </w:rPr>
              <w:t>Podklady pro další rozvoj SCLLD</w:t>
            </w:r>
            <w:r>
              <w:rPr>
                <w:noProof/>
                <w:webHidden/>
              </w:rPr>
              <w:tab/>
            </w:r>
            <w:r>
              <w:rPr>
                <w:noProof/>
                <w:webHidden/>
              </w:rPr>
              <w:fldChar w:fldCharType="begin"/>
            </w:r>
            <w:r>
              <w:rPr>
                <w:noProof/>
                <w:webHidden/>
              </w:rPr>
              <w:instrText xml:space="preserve"> PAGEREF _Toc430006562 \h </w:instrText>
            </w:r>
            <w:r>
              <w:rPr>
                <w:noProof/>
                <w:webHidden/>
              </w:rPr>
            </w:r>
            <w:r>
              <w:rPr>
                <w:noProof/>
                <w:webHidden/>
              </w:rPr>
              <w:fldChar w:fldCharType="separate"/>
            </w:r>
            <w:r>
              <w:rPr>
                <w:noProof/>
                <w:webHidden/>
              </w:rPr>
              <w:t>234</w:t>
            </w:r>
            <w:r>
              <w:rPr>
                <w:noProof/>
                <w:webHidden/>
              </w:rPr>
              <w:fldChar w:fldCharType="end"/>
            </w:r>
          </w:hyperlink>
        </w:p>
        <w:p w:rsidR="00187CA4" w:rsidRDefault="008D135B" w:rsidP="00187CA4">
          <w:pPr>
            <w:pStyle w:val="Obsah1"/>
            <w:tabs>
              <w:tab w:val="left" w:pos="480"/>
              <w:tab w:val="right" w:leader="dot" w:pos="9062"/>
            </w:tabs>
          </w:pPr>
          <w:r>
            <w:fldChar w:fldCharType="end"/>
          </w:r>
        </w:p>
      </w:sdtContent>
    </w:sdt>
    <w:p w:rsidR="00B50E8D" w:rsidRDefault="00B50E8D" w:rsidP="009F4D7F">
      <w:pPr>
        <w:pStyle w:val="Nadpis1"/>
      </w:pPr>
      <w:bookmarkStart w:id="0" w:name="_Toc430006475"/>
      <w:r>
        <w:lastRenderedPageBreak/>
        <w:t>Úvod s popisem základních informací</w:t>
      </w:r>
      <w:bookmarkEnd w:id="0"/>
    </w:p>
    <w:p w:rsidR="00B50E8D" w:rsidRDefault="00B50E8D" w:rsidP="009F4D7F"/>
    <w:p w:rsidR="00B50E8D" w:rsidRDefault="00B50E8D" w:rsidP="009F4D7F">
      <w:pPr>
        <w:pStyle w:val="Nadpis2"/>
      </w:pPr>
      <w:bookmarkStart w:id="1" w:name="_Toc430006476"/>
      <w:r>
        <w:t>Základní informace o MAS</w:t>
      </w:r>
      <w:bookmarkEnd w:id="1"/>
    </w:p>
    <w:p w:rsidR="009C33E8" w:rsidRPr="009C33E8" w:rsidRDefault="009C33E8" w:rsidP="009C33E8">
      <w:pPr>
        <w:pStyle w:val="Nadpis3"/>
      </w:pPr>
      <w:bookmarkStart w:id="2" w:name="_Toc430006477"/>
      <w:r>
        <w:t>Stručný popis území</w:t>
      </w:r>
      <w:bookmarkEnd w:id="2"/>
    </w:p>
    <w:p w:rsidR="00B50E8D" w:rsidRPr="008C4AC7" w:rsidRDefault="00E31AC9" w:rsidP="009F4D7F">
      <w:r w:rsidRPr="008C4AC7">
        <w:t xml:space="preserve">MAS Litomyšlsko (dále jen MAS) je partnerstvím (organizační složkou bez právní subjektivity) začleněným v rámci právnické osoby MAS Litomyšlsko o.p.s. </w:t>
      </w:r>
      <w:r w:rsidR="00932934" w:rsidRPr="008C4AC7">
        <w:t xml:space="preserve">(je tedy důležité v textu věnovat pozornost tomu, zda se </w:t>
      </w:r>
      <w:r w:rsidR="007845D4">
        <w:t>v dané souvislosti jedná o MAS L</w:t>
      </w:r>
      <w:r w:rsidR="00932934" w:rsidRPr="008C4AC7">
        <w:t>itomyšlsko o.p.s. jako právnickou osobu nebo o její organizační složku nazvanou MAS Litomyšlsko).</w:t>
      </w:r>
      <w:r w:rsidR="002608A3" w:rsidRPr="002608A3">
        <w:rPr>
          <w:rStyle w:val="Znakapoznpodarou"/>
        </w:rPr>
        <w:t xml:space="preserve"> </w:t>
      </w:r>
      <w:r w:rsidR="002608A3" w:rsidRPr="002608A3">
        <w:rPr>
          <w:rStyle w:val="Znakapoznpodarou"/>
        </w:rPr>
        <w:footnoteReference w:id="1"/>
      </w:r>
    </w:p>
    <w:p w:rsidR="00E31AC9" w:rsidRDefault="00E31AC9" w:rsidP="009F4D7F">
      <w:r w:rsidRPr="008C4AC7">
        <w:t>Partnerství je otevřené pro všechny subjekty, za splnění nediskriminačních podmínek daných statutem a interními dokumenty</w:t>
      </w:r>
      <w:r>
        <w:t xml:space="preserve">, které jsou dostupné </w:t>
      </w:r>
      <w:r w:rsidRPr="002608A3">
        <w:t xml:space="preserve">na webu </w:t>
      </w:r>
      <w:hyperlink r:id="rId9" w:history="1">
        <w:r w:rsidRPr="002608A3">
          <w:rPr>
            <w:rStyle w:val="Hypertextovodkaz"/>
            <w:color w:val="auto"/>
          </w:rPr>
          <w:t>www.mas-lit.cz</w:t>
        </w:r>
      </w:hyperlink>
      <w:r w:rsidRPr="002608A3">
        <w:t>.</w:t>
      </w:r>
    </w:p>
    <w:p w:rsidR="00E31AC9" w:rsidRDefault="00E31AC9" w:rsidP="009F4D7F">
      <w:r>
        <w:t>Tato strategie je zpracovávána pro území měst a obcí, které vyslovily souhlas se začleněním svého správního území do území, pro které MAS zpracovává tuto strategii komunitně vedeného místního rozvoje. Celkově je tedy tato strategie zpracovávána pro 54 měst a obcí</w:t>
      </w:r>
      <w:r w:rsidR="00932934">
        <w:t xml:space="preserve"> s počtem obyvatel </w:t>
      </w:r>
      <w:r w:rsidR="00932934" w:rsidRPr="002608A3">
        <w:t>45 </w:t>
      </w:r>
      <w:r w:rsidR="002608A3" w:rsidRPr="002608A3">
        <w:t>784 o rozloze 51 786,7 ha</w:t>
      </w:r>
      <w:r w:rsidR="00932934" w:rsidRPr="002608A3">
        <w:t>.</w:t>
      </w:r>
      <w:r w:rsidR="002608A3" w:rsidRPr="002608A3">
        <w:rPr>
          <w:rStyle w:val="Znakapoznpodarou"/>
        </w:rPr>
        <w:footnoteReference w:id="2"/>
      </w:r>
      <w:r w:rsidR="00970A9A" w:rsidRPr="002608A3">
        <w:t xml:space="preserve"> Hustota obyvatelstva</w:t>
      </w:r>
      <w:r w:rsidR="00970A9A">
        <w:t xml:space="preserve"> je tedy relativně nízká. Oprot</w:t>
      </w:r>
      <w:r w:rsidR="006E6E9A">
        <w:t>i</w:t>
      </w:r>
      <w:r w:rsidR="00970A9A">
        <w:t xml:space="preserve"> republikovému průměru přesahujícímu </w:t>
      </w:r>
      <w:r w:rsidR="00FE0A0D">
        <w:t>88,41</w:t>
      </w:r>
      <w:r w:rsidR="00970A9A">
        <w:t xml:space="preserve"> obyvatel/km</w:t>
      </w:r>
      <w:r w:rsidR="00970A9A" w:rsidRPr="007845D4">
        <w:rPr>
          <w:vertAlign w:val="superscript"/>
        </w:rPr>
        <w:t>2</w:t>
      </w:r>
      <w:r w:rsidR="00970A9A">
        <w:t xml:space="preserve">  připadá v regionu MAS Litomyšlsko</w:t>
      </w:r>
      <w:r w:rsidR="00CF7DAE">
        <w:t xml:space="preserve"> na jeden km2 pouze necelých 88</w:t>
      </w:r>
      <w:r w:rsidR="00970A9A">
        <w:t xml:space="preserve"> obyvatel.</w:t>
      </w:r>
    </w:p>
    <w:p w:rsidR="00831556" w:rsidRDefault="009C33E8" w:rsidP="009F4D7F">
      <w:r>
        <w:t>Území působnosti MAS Litomyšlsko je situováno do</w:t>
      </w:r>
      <w:r w:rsidR="00A836EE">
        <w:t xml:space="preserve"> středu P</w:t>
      </w:r>
      <w:r w:rsidR="001E6A31">
        <w:t xml:space="preserve">ardubického kraje. </w:t>
      </w:r>
      <w:r w:rsidR="00A836EE">
        <w:t>Největší část území spadá do</w:t>
      </w:r>
      <w:r>
        <w:t xml:space="preserve"> okresu Svitavy, ale</w:t>
      </w:r>
      <w:r w:rsidR="00A836EE">
        <w:t xml:space="preserve"> další jeho části zasahují</w:t>
      </w:r>
      <w:r>
        <w:t xml:space="preserve"> také do okresů Chrudim a Ústí nad Orlicí.</w:t>
      </w:r>
      <w:r w:rsidR="000A500A">
        <w:t xml:space="preserve"> Okres Svitavy je Ministerstvem pro místní rozvoj ČR hodnocen jako</w:t>
      </w:r>
      <w:r w:rsidR="00A836EE">
        <w:t xml:space="preserve"> </w:t>
      </w:r>
      <w:r w:rsidR="000C15D5">
        <w:t>hospodářsky slabý region</w:t>
      </w:r>
      <w:r w:rsidR="00A836EE">
        <w:rPr>
          <w:rStyle w:val="Znakapoznpodarou"/>
        </w:rPr>
        <w:footnoteReference w:id="3"/>
      </w:r>
      <w:r w:rsidR="000C15D5">
        <w:t>.</w:t>
      </w:r>
    </w:p>
    <w:p w:rsidR="00E31AC9" w:rsidRDefault="001E6A31" w:rsidP="001E6A31">
      <w:pPr>
        <w:ind w:left="-1134"/>
      </w:pPr>
      <w:r>
        <w:rPr>
          <w:noProof/>
          <w:lang w:eastAsia="cs-CZ"/>
        </w:rPr>
        <w:lastRenderedPageBreak/>
        <w:drawing>
          <wp:inline distT="0" distB="0" distL="0" distR="0">
            <wp:extent cx="6339548" cy="4486275"/>
            <wp:effectExtent l="19050" t="0" r="4102" b="0"/>
            <wp:docPr id="53" name="obrázek 2" descr="C:\Users\lenovo\Documents\MAS\ISRÚ_SCLLD\GIS\nazvy\Nazvy_Okre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MAS\ISRÚ_SCLLD\GIS\nazvy\Nazvy_Okresy.png"/>
                    <pic:cNvPicPr>
                      <a:picLocks noChangeAspect="1" noChangeArrowheads="1"/>
                    </pic:cNvPicPr>
                  </pic:nvPicPr>
                  <pic:blipFill>
                    <a:blip r:embed="rId10" cstate="print"/>
                    <a:srcRect/>
                    <a:stretch>
                      <a:fillRect/>
                    </a:stretch>
                  </pic:blipFill>
                  <pic:spPr bwMode="auto">
                    <a:xfrm>
                      <a:off x="0" y="0"/>
                      <a:ext cx="6343650" cy="4489178"/>
                    </a:xfrm>
                    <a:prstGeom prst="rect">
                      <a:avLst/>
                    </a:prstGeom>
                    <a:noFill/>
                    <a:ln w="9525">
                      <a:noFill/>
                      <a:miter lim="800000"/>
                      <a:headEnd/>
                      <a:tailEnd/>
                    </a:ln>
                  </pic:spPr>
                </pic:pic>
              </a:graphicData>
            </a:graphic>
          </wp:inline>
        </w:drawing>
      </w:r>
    </w:p>
    <w:p w:rsidR="00A836EE" w:rsidRDefault="00A836EE" w:rsidP="00932934">
      <w:pPr>
        <w:rPr>
          <w:color w:val="FF0000"/>
        </w:rPr>
      </w:pPr>
    </w:p>
    <w:p w:rsidR="00A836EE" w:rsidRDefault="00A836EE" w:rsidP="00932934">
      <w:pPr>
        <w:rPr>
          <w:color w:val="FF0000"/>
        </w:rPr>
      </w:pPr>
    </w:p>
    <w:tbl>
      <w:tblPr>
        <w:tblW w:w="8240" w:type="dxa"/>
        <w:tblInd w:w="55" w:type="dxa"/>
        <w:tblCellMar>
          <w:left w:w="70" w:type="dxa"/>
          <w:right w:w="70" w:type="dxa"/>
        </w:tblCellMar>
        <w:tblLook w:val="04A0"/>
      </w:tblPr>
      <w:tblGrid>
        <w:gridCol w:w="2100"/>
        <w:gridCol w:w="1460"/>
        <w:gridCol w:w="1200"/>
        <w:gridCol w:w="1360"/>
        <w:gridCol w:w="2120"/>
      </w:tblGrid>
      <w:tr w:rsidR="00A836EE" w:rsidRPr="00A836EE" w:rsidTr="00A836EE">
        <w:trPr>
          <w:trHeight w:val="240"/>
        </w:trPr>
        <w:tc>
          <w:tcPr>
            <w:tcW w:w="210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Obec</w:t>
            </w:r>
          </w:p>
        </w:tc>
        <w:tc>
          <w:tcPr>
            <w:tcW w:w="146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Okres</w:t>
            </w:r>
          </w:p>
        </w:tc>
        <w:tc>
          <w:tcPr>
            <w:tcW w:w="120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ORP</w:t>
            </w:r>
            <w:r w:rsidR="008071F5">
              <w:rPr>
                <w:rStyle w:val="Znakapoznpodarou"/>
                <w:rFonts w:ascii="Calibri" w:hAnsi="Calibri" w:cs="Calibri"/>
                <w:b/>
                <w:bCs/>
                <w:color w:val="FFFFFF"/>
                <w:sz w:val="16"/>
                <w:szCs w:val="16"/>
                <w:lang w:eastAsia="cs-CZ"/>
              </w:rPr>
              <w:footnoteReference w:id="4"/>
            </w:r>
          </w:p>
        </w:tc>
        <w:tc>
          <w:tcPr>
            <w:tcW w:w="136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Počet obyvatel</w:t>
            </w:r>
          </w:p>
        </w:tc>
        <w:tc>
          <w:tcPr>
            <w:tcW w:w="212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Celková výměra (ha)</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Benátky</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369</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478,5</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Bohuňovice</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112</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423,1</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Bor u Skutče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146</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435,3</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Bučina</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228</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382,6</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Budislav</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432</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805,7</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Cerekvice nad Loučnou</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841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829,1</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České Heřmanice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550</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997,1</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Čistá</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967</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2520,5</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Desná</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333</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477,7</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Dolní Újezd</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1 983</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1970,6</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Hluboká</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196</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733,8</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Horky</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120</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267,3</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Horní Újezd</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424</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773,9</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lastRenderedPageBreak/>
              <w:t>Hrušová</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332</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608,0</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Chmelík</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181</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953,9</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Chotěnov</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127</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399,6</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Chotovice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129</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320,2</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Janov</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997</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2467,7</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Jarošov</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180</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512,8</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Javorník</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261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548,3</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Leština</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300</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1073,4</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Libecina</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174</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481,7</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10 137</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3344,9</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Lubná</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998</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1984,8</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Makov</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327</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689,8</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Morašice</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721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1242,7</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Němčice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961</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1316,7</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Nová Sídla</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218</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294,9</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Nová Ves u Jarošova</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67</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238,3</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Nové Hrady</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313</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672,5</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Osík</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1 038</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1261,7</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Otradov</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Hlinsko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285</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554,2</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Perálec</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242</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456,5</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Poříčí u Litomyšle</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450</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650,6</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Proseč</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2 138</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3403,1</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Příluka</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172</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381,4</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Pustina</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67</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283,4</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Řídký</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71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141,4</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Sebranice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984</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1168,8</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Sedliště</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251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369,3</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Sloupnice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1 697</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2791,2</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Strakov</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224</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852,8</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Suchá Lhota</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89</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218,6</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Tisová</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571</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1096,6</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Trstěnice</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508</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2147,4</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Tržek</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155</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171,0</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Újezdec</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90</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345,6</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Vidlatá Seč</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276</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610,3</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Vlčkov</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Svitavy</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Litomyšl</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100</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283,4</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Vračovice-Orlov</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185</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291,5</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12 436</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4202,7</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Zádolí</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89</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426,0</w:t>
            </w:r>
          </w:p>
        </w:tc>
      </w:tr>
      <w:tr w:rsidR="00A836EE" w:rsidRPr="00A836EE" w:rsidTr="00A836EE">
        <w:trPr>
          <w:trHeight w:val="240"/>
        </w:trPr>
        <w:tc>
          <w:tcPr>
            <w:tcW w:w="21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Zálší</w:t>
            </w:r>
          </w:p>
        </w:tc>
        <w:tc>
          <w:tcPr>
            <w:tcW w:w="14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Ústí nad Orlicí</w:t>
            </w:r>
          </w:p>
        </w:tc>
        <w:tc>
          <w:tcPr>
            <w:tcW w:w="120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Vysoké Mýto</w:t>
            </w:r>
          </w:p>
        </w:tc>
        <w:tc>
          <w:tcPr>
            <w:tcW w:w="1360" w:type="dxa"/>
            <w:tcBorders>
              <w:top w:val="nil"/>
              <w:left w:val="nil"/>
              <w:bottom w:val="nil"/>
              <w:right w:val="nil"/>
            </w:tcBorders>
            <w:shd w:val="clear" w:color="000000" w:fill="DBE5F1"/>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229</w:t>
            </w:r>
          </w:p>
        </w:tc>
        <w:tc>
          <w:tcPr>
            <w:tcW w:w="2120" w:type="dxa"/>
            <w:tcBorders>
              <w:top w:val="nil"/>
              <w:left w:val="nil"/>
              <w:bottom w:val="nil"/>
              <w:right w:val="nil"/>
            </w:tcBorders>
            <w:shd w:val="clear" w:color="000000" w:fill="DBE5F1"/>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772,8</w:t>
            </w:r>
          </w:p>
        </w:tc>
      </w:tr>
      <w:tr w:rsidR="00A836EE" w:rsidRPr="00A836EE" w:rsidTr="00A836EE">
        <w:trPr>
          <w:trHeight w:val="240"/>
        </w:trPr>
        <w:tc>
          <w:tcPr>
            <w:tcW w:w="21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Zderaz</w:t>
            </w:r>
          </w:p>
        </w:tc>
        <w:tc>
          <w:tcPr>
            <w:tcW w:w="14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20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left"/>
              <w:rPr>
                <w:rFonts w:ascii="Arial" w:hAnsi="Arial" w:cs="Arial"/>
                <w:sz w:val="16"/>
                <w:szCs w:val="16"/>
                <w:lang w:eastAsia="cs-CZ"/>
              </w:rPr>
            </w:pPr>
            <w:r w:rsidRPr="00A836EE">
              <w:rPr>
                <w:rFonts w:ascii="Arial" w:hAnsi="Arial" w:cs="Arial"/>
                <w:sz w:val="16"/>
                <w:szCs w:val="16"/>
                <w:lang w:eastAsia="cs-CZ"/>
              </w:rPr>
              <w:t>Chrudim</w:t>
            </w:r>
          </w:p>
        </w:tc>
        <w:tc>
          <w:tcPr>
            <w:tcW w:w="1360" w:type="dxa"/>
            <w:tcBorders>
              <w:top w:val="nil"/>
              <w:left w:val="nil"/>
              <w:bottom w:val="nil"/>
              <w:right w:val="nil"/>
            </w:tcBorders>
            <w:shd w:val="clear" w:color="000000" w:fill="8DB4E3"/>
            <w:noWrap/>
            <w:vAlign w:val="center"/>
            <w:hideMark/>
          </w:tcPr>
          <w:p w:rsidR="00A836EE" w:rsidRPr="00A836EE" w:rsidRDefault="00A836EE" w:rsidP="00A836EE">
            <w:pPr>
              <w:suppressAutoHyphens w:val="0"/>
              <w:spacing w:after="0"/>
              <w:jc w:val="right"/>
              <w:rPr>
                <w:rFonts w:ascii="Arial" w:hAnsi="Arial" w:cs="Arial"/>
                <w:sz w:val="16"/>
                <w:szCs w:val="16"/>
                <w:lang w:eastAsia="cs-CZ"/>
              </w:rPr>
            </w:pPr>
            <w:r w:rsidRPr="00A836EE">
              <w:rPr>
                <w:rFonts w:ascii="Arial" w:hAnsi="Arial" w:cs="Arial"/>
                <w:sz w:val="16"/>
                <w:szCs w:val="16"/>
                <w:lang w:eastAsia="cs-CZ"/>
              </w:rPr>
              <w:t>277</w:t>
            </w:r>
          </w:p>
        </w:tc>
        <w:tc>
          <w:tcPr>
            <w:tcW w:w="2120" w:type="dxa"/>
            <w:tcBorders>
              <w:top w:val="nil"/>
              <w:left w:val="nil"/>
              <w:bottom w:val="nil"/>
              <w:right w:val="nil"/>
            </w:tcBorders>
            <w:shd w:val="clear" w:color="000000" w:fill="8DB4E3"/>
            <w:noWrap/>
            <w:vAlign w:val="bottom"/>
            <w:hideMark/>
          </w:tcPr>
          <w:p w:rsidR="00A836EE" w:rsidRPr="00A836EE" w:rsidRDefault="00A836EE" w:rsidP="00A836EE">
            <w:pPr>
              <w:suppressAutoHyphens w:val="0"/>
              <w:spacing w:after="0"/>
              <w:jc w:val="right"/>
              <w:rPr>
                <w:rFonts w:ascii="Arial" w:hAnsi="Arial" w:cs="Arial"/>
                <w:color w:val="000000"/>
                <w:sz w:val="16"/>
                <w:szCs w:val="16"/>
                <w:lang w:eastAsia="cs-CZ"/>
              </w:rPr>
            </w:pPr>
            <w:r w:rsidRPr="00A836EE">
              <w:rPr>
                <w:rFonts w:ascii="Arial" w:hAnsi="Arial" w:cs="Arial"/>
                <w:color w:val="000000"/>
                <w:sz w:val="16"/>
                <w:szCs w:val="16"/>
                <w:lang w:eastAsia="cs-CZ"/>
              </w:rPr>
              <w:t>661,1</w:t>
            </w:r>
          </w:p>
        </w:tc>
      </w:tr>
      <w:tr w:rsidR="00A836EE" w:rsidRPr="00A836EE" w:rsidTr="00A836EE">
        <w:trPr>
          <w:trHeight w:val="240"/>
        </w:trPr>
        <w:tc>
          <w:tcPr>
            <w:tcW w:w="4760" w:type="dxa"/>
            <w:gridSpan w:val="3"/>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Celkem</w:t>
            </w:r>
          </w:p>
        </w:tc>
        <w:tc>
          <w:tcPr>
            <w:tcW w:w="136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45748</w:t>
            </w:r>
          </w:p>
        </w:tc>
        <w:tc>
          <w:tcPr>
            <w:tcW w:w="2120" w:type="dxa"/>
            <w:tcBorders>
              <w:top w:val="nil"/>
              <w:left w:val="nil"/>
              <w:bottom w:val="nil"/>
              <w:right w:val="nil"/>
            </w:tcBorders>
            <w:shd w:val="clear" w:color="000000" w:fill="17375D"/>
            <w:vAlign w:val="center"/>
            <w:hideMark/>
          </w:tcPr>
          <w:p w:rsidR="00A836EE" w:rsidRPr="00A836EE" w:rsidRDefault="00A836EE" w:rsidP="00A836EE">
            <w:pPr>
              <w:suppressAutoHyphens w:val="0"/>
              <w:spacing w:after="0"/>
              <w:jc w:val="center"/>
              <w:rPr>
                <w:rFonts w:ascii="Calibri" w:hAnsi="Calibri" w:cs="Calibri"/>
                <w:b/>
                <w:bCs/>
                <w:color w:val="FFFFFF"/>
                <w:sz w:val="16"/>
                <w:szCs w:val="16"/>
                <w:lang w:eastAsia="cs-CZ"/>
              </w:rPr>
            </w:pPr>
            <w:r w:rsidRPr="00A836EE">
              <w:rPr>
                <w:rFonts w:ascii="Calibri" w:hAnsi="Calibri" w:cs="Calibri"/>
                <w:b/>
                <w:bCs/>
                <w:color w:val="FFFFFF"/>
                <w:sz w:val="16"/>
                <w:szCs w:val="16"/>
                <w:lang w:eastAsia="cs-CZ"/>
              </w:rPr>
              <w:t>51786,7484</w:t>
            </w:r>
          </w:p>
        </w:tc>
      </w:tr>
    </w:tbl>
    <w:p w:rsidR="00A836EE" w:rsidRDefault="00A836EE" w:rsidP="00932934">
      <w:pPr>
        <w:rPr>
          <w:color w:val="FF0000"/>
        </w:rPr>
      </w:pPr>
    </w:p>
    <w:p w:rsidR="00932934" w:rsidRDefault="009C33E8" w:rsidP="00932934">
      <w:r>
        <w:t>Charakter území je typicky venkovský se dvěma úzce propojenými centry (Litomyšl, Vysoké Mýto), která</w:t>
      </w:r>
      <w:r w:rsidR="004E4FDC">
        <w:t xml:space="preserve"> jsou propojena historicky, ekonomicky, logisticky, atd. Litomyšl a Vysoké Mýto</w:t>
      </w:r>
      <w:r>
        <w:t xml:space="preserve"> představují spádová centra pro okolní obce. Přesto, že tato města počtem obyvatel významně převyšují ostatní </w:t>
      </w:r>
      <w:r w:rsidRPr="002608A3">
        <w:t>obce MAS Litomyšlsko (včetně</w:t>
      </w:r>
      <w:r>
        <w:t xml:space="preserve"> města Proseč), představuje celkový součet počtu jejich obyvatel přibližně počet obyvatel jednoho okresního města České republiky.</w:t>
      </w:r>
    </w:p>
    <w:p w:rsidR="001E6A31" w:rsidRDefault="001E6A31" w:rsidP="001E6A31">
      <w:pPr>
        <w:ind w:left="-1134"/>
      </w:pPr>
      <w:r>
        <w:rPr>
          <w:noProof/>
          <w:lang w:eastAsia="cs-CZ"/>
        </w:rPr>
        <w:lastRenderedPageBreak/>
        <w:drawing>
          <wp:inline distT="0" distB="0" distL="0" distR="0">
            <wp:extent cx="6296025" cy="4455475"/>
            <wp:effectExtent l="19050" t="0" r="9525" b="0"/>
            <wp:docPr id="54" name="obrázek 3" descr="C:\Users\lenovo\Documents\MAS\ISRÚ_SCLLD\GIS\nazvy\Nazvy_Pocet obyva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MAS\ISRÚ_SCLLD\GIS\nazvy\Nazvy_Pocet obyvatel.png"/>
                    <pic:cNvPicPr>
                      <a:picLocks noChangeAspect="1" noChangeArrowheads="1"/>
                    </pic:cNvPicPr>
                  </pic:nvPicPr>
                  <pic:blipFill>
                    <a:blip r:embed="rId11" cstate="print"/>
                    <a:srcRect/>
                    <a:stretch>
                      <a:fillRect/>
                    </a:stretch>
                  </pic:blipFill>
                  <pic:spPr bwMode="auto">
                    <a:xfrm>
                      <a:off x="0" y="0"/>
                      <a:ext cx="6296025" cy="4455475"/>
                    </a:xfrm>
                    <a:prstGeom prst="rect">
                      <a:avLst/>
                    </a:prstGeom>
                    <a:noFill/>
                    <a:ln w="9525">
                      <a:noFill/>
                      <a:miter lim="800000"/>
                      <a:headEnd/>
                      <a:tailEnd/>
                    </a:ln>
                  </pic:spPr>
                </pic:pic>
              </a:graphicData>
            </a:graphic>
          </wp:inline>
        </w:drawing>
      </w:r>
    </w:p>
    <w:p w:rsidR="009322B4" w:rsidRDefault="009322B4" w:rsidP="009322B4">
      <w:r>
        <w:t>Region je typický velkým počtem malých obcí, které jsou kumulovány především západně od spojnice Vysokého Mýta a Litomyšle. Níže zobrazený graf znázorňuje některé další typické vlastnosti regionu.</w:t>
      </w:r>
    </w:p>
    <w:p w:rsidR="009322B4" w:rsidRDefault="009322B4" w:rsidP="00A60AC9">
      <w:pPr>
        <w:pStyle w:val="Odstavecseseznamem"/>
        <w:numPr>
          <w:ilvl w:val="0"/>
          <w:numId w:val="36"/>
        </w:numPr>
      </w:pPr>
      <w:r>
        <w:t>V 19-ti obcích (35 %) do 200 obyvatel žije pouze 5,4 % obyvatel regionu.</w:t>
      </w:r>
    </w:p>
    <w:p w:rsidR="00603653" w:rsidRDefault="009322B4" w:rsidP="00A60AC9">
      <w:pPr>
        <w:pStyle w:val="Odstavecseseznamem"/>
        <w:numPr>
          <w:ilvl w:val="0"/>
          <w:numId w:val="36"/>
        </w:numPr>
      </w:pPr>
      <w:r>
        <w:t>V 38 obcích (70 %) do 500 obyvatel žije pouze 18 % obyvatelstva regionu.</w:t>
      </w:r>
    </w:p>
    <w:p w:rsidR="009322B4" w:rsidRDefault="009322B4" w:rsidP="00A60AC9">
      <w:pPr>
        <w:pStyle w:val="Odstavecseseznamem"/>
        <w:numPr>
          <w:ilvl w:val="0"/>
          <w:numId w:val="36"/>
        </w:numPr>
      </w:pPr>
      <w:r>
        <w:t>Přibližně 50 % obyvatel je koncentrováno do dvou měst.</w:t>
      </w:r>
    </w:p>
    <w:p w:rsidR="00603653" w:rsidRDefault="00603653" w:rsidP="00A60AC9">
      <w:pPr>
        <w:pStyle w:val="Odstavecseseznamem"/>
        <w:numPr>
          <w:ilvl w:val="0"/>
          <w:numId w:val="36"/>
        </w:numPr>
      </w:pPr>
      <w:r>
        <w:t>48 obcí z 54 představují obce do 1000 obyvatel.</w:t>
      </w:r>
    </w:p>
    <w:p w:rsidR="00603653" w:rsidRDefault="00603653" w:rsidP="00A60AC9">
      <w:pPr>
        <w:pStyle w:val="Odstavecseseznamem"/>
        <w:numPr>
          <w:ilvl w:val="0"/>
          <w:numId w:val="36"/>
        </w:numPr>
      </w:pPr>
      <w:r>
        <w:t>Pouze 3 města (všechna v regionu) přesahují jednotlivě počtem obyvatel 2000.</w:t>
      </w:r>
    </w:p>
    <w:p w:rsidR="009322B4" w:rsidRDefault="008D135B" w:rsidP="001E6A31">
      <w:pPr>
        <w:ind w:left="-1134"/>
      </w:pPr>
      <w:r>
        <w:rPr>
          <w:noProof/>
          <w:lang w:eastAsia="cs-CZ"/>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79.15pt;margin-top:46.15pt;width:131.25pt;height:52.5pt;z-index:251659264" adj="36181,59616">
            <v:textbox style="mso-next-textbox:#_x0000_s1027">
              <w:txbxContent>
                <w:p w:rsidR="00DD1FE0" w:rsidRPr="00F42853" w:rsidRDefault="00DD1FE0" w:rsidP="00F42853">
                  <w:pPr>
                    <w:rPr>
                      <w:sz w:val="16"/>
                      <w:szCs w:val="16"/>
                    </w:rPr>
                  </w:pPr>
                  <w:r>
                    <w:rPr>
                      <w:sz w:val="16"/>
                      <w:szCs w:val="16"/>
                    </w:rPr>
                    <w:t xml:space="preserve">V 70 % </w:t>
                  </w:r>
                  <w:r w:rsidRPr="00F42853">
                    <w:rPr>
                      <w:sz w:val="16"/>
                      <w:szCs w:val="16"/>
                    </w:rPr>
                    <w:t>o</w:t>
                  </w:r>
                  <w:r>
                    <w:rPr>
                      <w:sz w:val="16"/>
                      <w:szCs w:val="16"/>
                    </w:rPr>
                    <w:t>bcí (do</w:t>
                  </w:r>
                  <w:r w:rsidRPr="00F42853">
                    <w:rPr>
                      <w:sz w:val="16"/>
                      <w:szCs w:val="16"/>
                    </w:rPr>
                    <w:t xml:space="preserve"> 500 obyvatel</w:t>
                  </w:r>
                  <w:r>
                    <w:rPr>
                      <w:sz w:val="16"/>
                      <w:szCs w:val="16"/>
                    </w:rPr>
                    <w:t>) žije jen 18 % obyvatelstva.</w:t>
                  </w:r>
                </w:p>
              </w:txbxContent>
            </v:textbox>
          </v:shape>
        </w:pict>
      </w:r>
      <w:r>
        <w:rPr>
          <w:noProof/>
          <w:lang w:eastAsia="cs-CZ"/>
        </w:rPr>
        <w:pict>
          <v:shape id="_x0000_s1028" type="#_x0000_t62" style="position:absolute;left:0;text-align:left;margin-left:328.9pt;margin-top:38.65pt;width:97.5pt;height:30.75pt;z-index:251660288" adj="18465,107579">
            <v:textbox style="mso-next-textbox:#_x0000_s1028">
              <w:txbxContent>
                <w:p w:rsidR="00DD1FE0" w:rsidRPr="00F42853" w:rsidRDefault="00DD1FE0" w:rsidP="00F42853">
                  <w:pPr>
                    <w:rPr>
                      <w:sz w:val="16"/>
                      <w:szCs w:val="16"/>
                    </w:rPr>
                  </w:pPr>
                  <w:r w:rsidRPr="00F42853">
                    <w:rPr>
                      <w:sz w:val="16"/>
                      <w:szCs w:val="16"/>
                    </w:rPr>
                    <w:t>Do 20</w:t>
                  </w:r>
                  <w:r>
                    <w:rPr>
                      <w:sz w:val="16"/>
                      <w:szCs w:val="16"/>
                    </w:rPr>
                    <w:t>00 o</w:t>
                  </w:r>
                  <w:r w:rsidRPr="00F42853">
                    <w:rPr>
                      <w:sz w:val="16"/>
                      <w:szCs w:val="16"/>
                    </w:rPr>
                    <w:t>byvatel</w:t>
                  </w:r>
                  <w:r>
                    <w:rPr>
                      <w:sz w:val="16"/>
                      <w:szCs w:val="16"/>
                    </w:rPr>
                    <w:t>.</w:t>
                  </w:r>
                </w:p>
              </w:txbxContent>
            </v:textbox>
          </v:shape>
        </w:pict>
      </w:r>
      <w:r>
        <w:rPr>
          <w:noProof/>
          <w:lang w:eastAsia="cs-CZ"/>
        </w:rPr>
        <w:pict>
          <v:shape id="_x0000_s1029" type="#_x0000_t62" style="position:absolute;left:0;text-align:left;margin-left:223.9pt;margin-top:58.15pt;width:101.25pt;height:32.25pt;z-index:251661312" adj="35221,88007">
            <v:textbox style="mso-next-textbox:#_x0000_s1029">
              <w:txbxContent>
                <w:p w:rsidR="00DD1FE0" w:rsidRPr="00F42853" w:rsidRDefault="00DD1FE0" w:rsidP="00F42853">
                  <w:pPr>
                    <w:rPr>
                      <w:sz w:val="16"/>
                      <w:szCs w:val="16"/>
                    </w:rPr>
                  </w:pPr>
                  <w:r w:rsidRPr="00F42853">
                    <w:rPr>
                      <w:sz w:val="16"/>
                      <w:szCs w:val="16"/>
                    </w:rPr>
                    <w:t>Do 100</w:t>
                  </w:r>
                  <w:r>
                    <w:rPr>
                      <w:sz w:val="16"/>
                      <w:szCs w:val="16"/>
                    </w:rPr>
                    <w:t>0 o</w:t>
                  </w:r>
                  <w:r w:rsidRPr="00F42853">
                    <w:rPr>
                      <w:sz w:val="16"/>
                      <w:szCs w:val="16"/>
                    </w:rPr>
                    <w:t>byvatel</w:t>
                  </w:r>
                  <w:r>
                    <w:rPr>
                      <w:sz w:val="16"/>
                      <w:szCs w:val="16"/>
                    </w:rPr>
                    <w:t>.</w:t>
                  </w:r>
                </w:p>
              </w:txbxContent>
            </v:textbox>
          </v:shape>
        </w:pict>
      </w:r>
      <w:r>
        <w:rPr>
          <w:noProof/>
          <w:lang w:eastAsia="cs-CZ"/>
        </w:rPr>
        <w:pict>
          <v:shape id="_x0000_s1026" type="#_x0000_t62" style="position:absolute;left:0;text-align:left;margin-left:-1.1pt;margin-top:104.65pt;width:102pt;height:33pt;z-index:251658240" adj="30674,54098">
            <v:textbox style="mso-next-textbox:#_x0000_s1026">
              <w:txbxContent>
                <w:p w:rsidR="00DD1FE0" w:rsidRPr="00F42853" w:rsidRDefault="00DD1FE0">
                  <w:pPr>
                    <w:rPr>
                      <w:sz w:val="16"/>
                      <w:szCs w:val="16"/>
                    </w:rPr>
                  </w:pPr>
                  <w:r w:rsidRPr="00F42853">
                    <w:rPr>
                      <w:sz w:val="16"/>
                      <w:szCs w:val="16"/>
                    </w:rPr>
                    <w:t>Do 200 obyvatel</w:t>
                  </w:r>
                  <w:r>
                    <w:rPr>
                      <w:sz w:val="16"/>
                      <w:szCs w:val="16"/>
                    </w:rPr>
                    <w:t>.</w:t>
                  </w:r>
                </w:p>
              </w:txbxContent>
            </v:textbox>
          </v:shape>
        </w:pict>
      </w:r>
      <w:r w:rsidR="009322B4" w:rsidRPr="009322B4">
        <w:rPr>
          <w:noProof/>
          <w:lang w:eastAsia="cs-CZ"/>
        </w:rPr>
        <w:drawing>
          <wp:inline distT="0" distB="0" distL="0" distR="0">
            <wp:extent cx="6419850" cy="3857625"/>
            <wp:effectExtent l="19050" t="0" r="19050" b="0"/>
            <wp:docPr id="1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22B4" w:rsidRPr="002608A3" w:rsidRDefault="009322B4" w:rsidP="001E6A31">
      <w:pPr>
        <w:ind w:left="-1134"/>
        <w:rPr>
          <w:sz w:val="20"/>
          <w:szCs w:val="20"/>
        </w:rPr>
      </w:pPr>
      <w:r w:rsidRPr="002608A3">
        <w:rPr>
          <w:sz w:val="20"/>
          <w:szCs w:val="20"/>
        </w:rPr>
        <w:t xml:space="preserve">Zdroj: </w:t>
      </w:r>
      <w:r w:rsidR="002608A3" w:rsidRPr="002608A3">
        <w:rPr>
          <w:sz w:val="20"/>
          <w:szCs w:val="20"/>
        </w:rPr>
        <w:t>ČSÚ</w:t>
      </w:r>
      <w:r w:rsidR="00EA5F74">
        <w:rPr>
          <w:sz w:val="20"/>
          <w:szCs w:val="20"/>
        </w:rPr>
        <w:t xml:space="preserve"> (Český statistický úřad)</w:t>
      </w:r>
      <w:r w:rsidR="002608A3" w:rsidRPr="002608A3">
        <w:rPr>
          <w:sz w:val="20"/>
          <w:szCs w:val="20"/>
        </w:rPr>
        <w:t>, data k</w:t>
      </w:r>
      <w:r w:rsidRPr="002608A3">
        <w:rPr>
          <w:sz w:val="20"/>
          <w:szCs w:val="20"/>
        </w:rPr>
        <w:t xml:space="preserve"> 31. 12. 2013</w:t>
      </w:r>
    </w:p>
    <w:p w:rsidR="009C33E8" w:rsidRDefault="000A4F29" w:rsidP="009C33E8">
      <w:pPr>
        <w:pStyle w:val="Nadpis3"/>
      </w:pPr>
      <w:bookmarkStart w:id="3" w:name="_Toc430006478"/>
      <w:r>
        <w:t>Seskupení obcí v regionu</w:t>
      </w:r>
      <w:bookmarkEnd w:id="3"/>
    </w:p>
    <w:p w:rsidR="00C1242D" w:rsidRPr="002608A3" w:rsidRDefault="00C1242D" w:rsidP="00C1242D">
      <w:r>
        <w:t xml:space="preserve">Území </w:t>
      </w:r>
      <w:r w:rsidRPr="002608A3">
        <w:t>působnosti MAS Litomyšlsko se kryje s územím níže uvedených svazků obcí a mikroregionů (není uveden ú</w:t>
      </w:r>
      <w:r w:rsidR="006E6E9A" w:rsidRPr="002608A3">
        <w:t>plný výčet obcí, ale pouze relev</w:t>
      </w:r>
      <w:r w:rsidRPr="002608A3">
        <w:t xml:space="preserve">antní průnik s územím MAS Litomyšlsko). </w:t>
      </w:r>
    </w:p>
    <w:p w:rsidR="00C52379" w:rsidRPr="002608A3" w:rsidRDefault="00C52379" w:rsidP="00963652">
      <w:pPr>
        <w:pStyle w:val="Odstavecseseznamem"/>
        <w:numPr>
          <w:ilvl w:val="0"/>
          <w:numId w:val="6"/>
        </w:numPr>
      </w:pPr>
      <w:r w:rsidRPr="002608A3">
        <w:t xml:space="preserve">MIKROREGION LITOMYŠLSKO - sdružuje 42 obcí, přičemž všechny obce s výjimkou Květné jsou v území působnosti MAS Litomyšlsko. Mikroregion Litomyšlsko tak představuje </w:t>
      </w:r>
      <w:r w:rsidR="003B46E3" w:rsidRPr="002608A3">
        <w:t>zásadní prvek území působnosti MAS Litomyšlsko.</w:t>
      </w:r>
    </w:p>
    <w:p w:rsidR="00C52379" w:rsidRPr="002608A3" w:rsidRDefault="00C1242D" w:rsidP="00963652">
      <w:pPr>
        <w:pStyle w:val="Odstavecseseznamem"/>
        <w:numPr>
          <w:ilvl w:val="0"/>
          <w:numId w:val="6"/>
        </w:numPr>
      </w:pPr>
      <w:r w:rsidRPr="002608A3">
        <w:t>TOULOVCOVY MAŠTALE -</w:t>
      </w:r>
      <w:r w:rsidR="00C52379" w:rsidRPr="002608A3">
        <w:t xml:space="preserve"> do působnosti MAS Litomyšlsko patří obce Bor u Skutče, Budislav, Hluboká, Jarošov,</w:t>
      </w:r>
      <w:r w:rsidRPr="002608A3">
        <w:t xml:space="preserve"> Leština,</w:t>
      </w:r>
      <w:r w:rsidR="00C52379" w:rsidRPr="002608A3">
        <w:t xml:space="preserve"> Nová Ves u Jarošova,</w:t>
      </w:r>
      <w:r w:rsidRPr="002608A3">
        <w:t xml:space="preserve"> Nové Hrady,</w:t>
      </w:r>
      <w:r w:rsidR="00C52379" w:rsidRPr="002608A3">
        <w:t xml:space="preserve"> Perálec, Poříčí u Litomyšle, Leština, Proseč</w:t>
      </w:r>
      <w:r w:rsidRPr="002608A3">
        <w:t>, Příluka a Zderaz.</w:t>
      </w:r>
    </w:p>
    <w:p w:rsidR="00C52379" w:rsidRDefault="00C1242D" w:rsidP="00963652">
      <w:pPr>
        <w:pStyle w:val="Odstavecseseznamem"/>
        <w:numPr>
          <w:ilvl w:val="0"/>
          <w:numId w:val="6"/>
        </w:numPr>
      </w:pPr>
      <w:r w:rsidRPr="002608A3">
        <w:t>LITOMYŠLSKO-DESINKA –</w:t>
      </w:r>
      <w:r w:rsidR="00C52379" w:rsidRPr="002608A3">
        <w:t xml:space="preserve"> tvoří</w:t>
      </w:r>
      <w:r w:rsidRPr="002608A3">
        <w:t xml:space="preserve"> jej</w:t>
      </w:r>
      <w:r w:rsidR="00C52379" w:rsidRPr="002608A3">
        <w:t xml:space="preserve"> obce Desná, Dolní Újezd, Horní Újezd, Chotěnov, Lubná, Makov, Morašice, Osík, Poříčí u Lit</w:t>
      </w:r>
      <w:r w:rsidRPr="002608A3">
        <w:t>omyšle, Sebranice a Vidlatá Seč (území všech těchto obcí</w:t>
      </w:r>
      <w:r>
        <w:t xml:space="preserve"> je součástí regionu MAS Litomyšlsko).</w:t>
      </w:r>
    </w:p>
    <w:p w:rsidR="00C52379" w:rsidRDefault="00C1242D" w:rsidP="00963652">
      <w:pPr>
        <w:pStyle w:val="Odstavecseseznamem"/>
        <w:numPr>
          <w:ilvl w:val="0"/>
          <w:numId w:val="6"/>
        </w:numPr>
      </w:pPr>
      <w:r>
        <w:lastRenderedPageBreak/>
        <w:t xml:space="preserve">REGION ORLICKO – TŘEBOVSKO – z regionu </w:t>
      </w:r>
      <w:r w:rsidR="00C52379">
        <w:t>do působnosti MAS Litomyšlsko</w:t>
      </w:r>
      <w:r>
        <w:t xml:space="preserve"> patří obce Sloupnice a Němčice.</w:t>
      </w:r>
    </w:p>
    <w:p w:rsidR="00C52379" w:rsidRDefault="00C52379" w:rsidP="00963652">
      <w:pPr>
        <w:pStyle w:val="Odstavecseseznamem"/>
        <w:numPr>
          <w:ilvl w:val="0"/>
          <w:numId w:val="6"/>
        </w:numPr>
      </w:pPr>
      <w:r>
        <w:t xml:space="preserve">KRAJ SMETANY A MARTINŮ </w:t>
      </w:r>
      <w:r w:rsidR="00C1242D">
        <w:t>– z něhož obce</w:t>
      </w:r>
      <w:r>
        <w:t xml:space="preserve"> Dolní Újezd, Jarošov, měst</w:t>
      </w:r>
      <w:r w:rsidR="00C1242D">
        <w:t>o</w:t>
      </w:r>
      <w:r>
        <w:t xml:space="preserve"> Litomyšl, o</w:t>
      </w:r>
      <w:r w:rsidR="00C1242D">
        <w:t>bce</w:t>
      </w:r>
      <w:r>
        <w:t xml:space="preserve"> Lubná a Sebrani</w:t>
      </w:r>
      <w:r w:rsidR="00C1242D">
        <w:t>ce jsou v území působnosti MAS Litomyšlsko.</w:t>
      </w:r>
    </w:p>
    <w:p w:rsidR="00C52379" w:rsidRDefault="00E73915" w:rsidP="00963652">
      <w:pPr>
        <w:pStyle w:val="Odstavecseseznamem"/>
        <w:numPr>
          <w:ilvl w:val="0"/>
          <w:numId w:val="6"/>
        </w:numPr>
      </w:pPr>
      <w:r>
        <w:t>MI</w:t>
      </w:r>
      <w:r w:rsidR="00C52379">
        <w:t>K</w:t>
      </w:r>
      <w:r>
        <w:t>R</w:t>
      </w:r>
      <w:r w:rsidR="00C52379">
        <w:t>OREGION VYSOKOMÝTSKO</w:t>
      </w:r>
      <w:r w:rsidR="00C1242D">
        <w:t xml:space="preserve"> – obce, které rovněž spadají do území MAS jsou</w:t>
      </w:r>
      <w:r w:rsidR="00C52379">
        <w:t xml:space="preserve"> Nové Hrady, Bučina, České Heřmanice, Javorník, Leština, Pustina, Tisová, Vračovice-Orlov, V</w:t>
      </w:r>
      <w:r w:rsidR="00C1242D">
        <w:t>ysoké Mýto, Zálší.</w:t>
      </w:r>
    </w:p>
    <w:p w:rsidR="005156C1" w:rsidRPr="002608A3" w:rsidRDefault="005156C1" w:rsidP="00963652">
      <w:pPr>
        <w:pStyle w:val="Odstavecseseznamem"/>
        <w:numPr>
          <w:ilvl w:val="0"/>
          <w:numId w:val="6"/>
        </w:numPr>
      </w:pPr>
      <w:r w:rsidRPr="002608A3">
        <w:rPr>
          <w:rStyle w:val="Siln"/>
          <w:b w:val="0"/>
        </w:rPr>
        <w:t>ČESKOMORAVSKÉ POMEZÍ</w:t>
      </w:r>
      <w:r w:rsidRPr="002608A3">
        <w:t>, SVAZEK OBCÍ – Litomyšl a Vysoké Mýto sp</w:t>
      </w:r>
      <w:r w:rsidR="006E6E9A" w:rsidRPr="002608A3">
        <w:t>a</w:t>
      </w:r>
      <w:r w:rsidRPr="002608A3">
        <w:t>dají do území MAS.</w:t>
      </w:r>
    </w:p>
    <w:p w:rsidR="00C52379" w:rsidRPr="002608A3" w:rsidRDefault="00E73915" w:rsidP="00963652">
      <w:pPr>
        <w:pStyle w:val="Odstavecseseznamem"/>
        <w:numPr>
          <w:ilvl w:val="0"/>
          <w:numId w:val="6"/>
        </w:numPr>
      </w:pPr>
      <w:r>
        <w:t>MI</w:t>
      </w:r>
      <w:r w:rsidR="00C1242D" w:rsidRPr="002608A3">
        <w:t>K</w:t>
      </w:r>
      <w:r>
        <w:t>R</w:t>
      </w:r>
      <w:r w:rsidR="00C1242D" w:rsidRPr="002608A3">
        <w:t>OREGION Hlinecko – z tohoto mikroregionu spadá do území MAS Litomyšlsko pouze obec Otradov.</w:t>
      </w:r>
    </w:p>
    <w:p w:rsidR="00C52379" w:rsidRPr="002608A3" w:rsidRDefault="00C52379" w:rsidP="00963652">
      <w:pPr>
        <w:pStyle w:val="Odstavecseseznamem"/>
        <w:numPr>
          <w:ilvl w:val="0"/>
          <w:numId w:val="6"/>
        </w:numPr>
      </w:pPr>
      <w:r w:rsidRPr="002608A3">
        <w:t>Svazek obcí AZASS</w:t>
      </w:r>
      <w:r w:rsidR="00C1242D" w:rsidRPr="002608A3">
        <w:t xml:space="preserve"> (</w:t>
      </w:r>
      <w:r w:rsidR="0048677A" w:rsidRPr="002608A3">
        <w:t>Zájmové sdružení měst a obcí na podporu poličské nemocnice</w:t>
      </w:r>
      <w:r w:rsidR="00C1242D" w:rsidRPr="002608A3">
        <w:t>)</w:t>
      </w:r>
      <w:r w:rsidRPr="002608A3">
        <w:t xml:space="preserve"> </w:t>
      </w:r>
      <w:r w:rsidR="0048677A" w:rsidRPr="002608A3">
        <w:t>–</w:t>
      </w:r>
      <w:r w:rsidRPr="002608A3">
        <w:t xml:space="preserve"> </w:t>
      </w:r>
      <w:r w:rsidR="0048677A" w:rsidRPr="002608A3">
        <w:t xml:space="preserve">součástí MAS jsou </w:t>
      </w:r>
      <w:r w:rsidRPr="002608A3">
        <w:t>Bor u Skutče, Lu</w:t>
      </w:r>
      <w:r w:rsidR="00C1242D" w:rsidRPr="002608A3">
        <w:t>bná, Perálec, Sebranice, Zderaz.</w:t>
      </w:r>
    </w:p>
    <w:p w:rsidR="00C52379" w:rsidRDefault="00C52379" w:rsidP="00963652">
      <w:pPr>
        <w:pStyle w:val="Odstavecseseznamem"/>
        <w:numPr>
          <w:ilvl w:val="0"/>
          <w:numId w:val="6"/>
        </w:numPr>
      </w:pPr>
      <w:r w:rsidRPr="002608A3">
        <w:t>Svazek</w:t>
      </w:r>
      <w:r>
        <w:t xml:space="preserve"> obcí Zelená energie - Horní Újezd</w:t>
      </w:r>
      <w:r w:rsidR="007D3E54">
        <w:t xml:space="preserve"> (svazek </w:t>
      </w:r>
      <w:r w:rsidR="00AC0536">
        <w:t>už nevyvíjí činnost a bude rozpu</w:t>
      </w:r>
      <w:r w:rsidR="007D3E54">
        <w:t>štěn)</w:t>
      </w:r>
      <w:r w:rsidR="00C1242D">
        <w:t>.</w:t>
      </w:r>
    </w:p>
    <w:p w:rsidR="00AC0536" w:rsidRDefault="00AC0536" w:rsidP="00963652">
      <w:pPr>
        <w:pStyle w:val="Odstavecseseznamem"/>
        <w:numPr>
          <w:ilvl w:val="0"/>
          <w:numId w:val="6"/>
        </w:numPr>
      </w:pPr>
      <w:r>
        <w:t>České dědictví (</w:t>
      </w:r>
      <w:r w:rsidR="00344359">
        <w:t>správa  a propagace památek</w:t>
      </w:r>
      <w:r>
        <w:t xml:space="preserve"> UNESCO</w:t>
      </w:r>
      <w:r w:rsidR="00344359">
        <w:t xml:space="preserve"> v ČR</w:t>
      </w:r>
      <w:r>
        <w:t>) – Litomyšl</w:t>
      </w:r>
    </w:p>
    <w:p w:rsidR="00AC0536" w:rsidRDefault="00AC0536" w:rsidP="00963652">
      <w:pPr>
        <w:pStyle w:val="Odstavecseseznamem"/>
        <w:numPr>
          <w:ilvl w:val="0"/>
          <w:numId w:val="6"/>
        </w:numPr>
      </w:pPr>
      <w:r>
        <w:t>Českomoravské pomezí (zaměření na cestovní ruch založený na potenciálu větších měst na hranicích Čech a Moravy) – Vysoké Mýto, Litomyšl</w:t>
      </w:r>
    </w:p>
    <w:p w:rsidR="00B50E8D" w:rsidRDefault="00B50E8D" w:rsidP="009F4D7F">
      <w:pPr>
        <w:pStyle w:val="Nadpis3"/>
      </w:pPr>
      <w:bookmarkStart w:id="4" w:name="_Toc430006479"/>
      <w:r>
        <w:t>Identifikace právnické osoby a její orgány</w:t>
      </w:r>
      <w:bookmarkEnd w:id="4"/>
      <w:r>
        <w:t xml:space="preserve"> </w:t>
      </w:r>
    </w:p>
    <w:p w:rsidR="00045E9D" w:rsidRPr="000F7E1C" w:rsidRDefault="00045E9D" w:rsidP="000F7E1C">
      <w:pPr>
        <w:pStyle w:val="Nadpis4"/>
      </w:pPr>
      <w:r w:rsidRPr="000F7E1C">
        <w:t>Identifikace MAS Litomyšlsko jako právnické osoby</w:t>
      </w:r>
    </w:p>
    <w:p w:rsidR="000A7539" w:rsidRDefault="000A7539" w:rsidP="009F4D7F">
      <w:r>
        <w:t>Obc</w:t>
      </w:r>
      <w:r w:rsidR="006E6E9A">
        <w:t>hodní firma (název):</w:t>
      </w:r>
      <w:r w:rsidR="006E6E9A">
        <w:tab/>
        <w:t>MAS Litomyš</w:t>
      </w:r>
      <w:r>
        <w:t xml:space="preserve">lsko o.p.s. </w:t>
      </w:r>
    </w:p>
    <w:p w:rsidR="00B50E8D" w:rsidRDefault="000A7539" w:rsidP="009F4D7F">
      <w:r>
        <w:t xml:space="preserve">Právní forma: </w:t>
      </w:r>
      <w:r>
        <w:tab/>
      </w:r>
      <w:r>
        <w:tab/>
        <w:t>Obecně prospěšná společnost</w:t>
      </w:r>
    </w:p>
    <w:p w:rsidR="000A7539" w:rsidRDefault="000A7539" w:rsidP="009F4D7F">
      <w:r>
        <w:t>IČ:</w:t>
      </w:r>
      <w:r>
        <w:tab/>
      </w:r>
      <w:r>
        <w:tab/>
      </w:r>
      <w:r>
        <w:tab/>
      </w:r>
      <w:r>
        <w:tab/>
        <w:t>27506096</w:t>
      </w:r>
    </w:p>
    <w:p w:rsidR="000A7539" w:rsidRDefault="000A7539" w:rsidP="009F4D7F">
      <w:r>
        <w:t>Sídlo:</w:t>
      </w:r>
      <w:r>
        <w:tab/>
      </w:r>
      <w:r>
        <w:tab/>
      </w:r>
      <w:r>
        <w:tab/>
      </w:r>
      <w:r>
        <w:tab/>
        <w:t>Proseč č.p. 125, 539 44 Proseč</w:t>
      </w:r>
    </w:p>
    <w:p w:rsidR="000A7539" w:rsidRDefault="000A7539" w:rsidP="009F4D7F"/>
    <w:p w:rsidR="000A7539" w:rsidRDefault="000A7539" w:rsidP="009F4D7F">
      <w:pPr>
        <w:rPr>
          <w:noProof/>
          <w:lang w:eastAsia="cs-CZ"/>
        </w:rPr>
      </w:pPr>
    </w:p>
    <w:p w:rsidR="000A7539" w:rsidRDefault="000A7539" w:rsidP="009F4D7F">
      <w:r>
        <w:rPr>
          <w:noProof/>
          <w:lang w:eastAsia="cs-CZ"/>
        </w:rPr>
        <w:drawing>
          <wp:inline distT="0" distB="0" distL="0" distR="0">
            <wp:extent cx="5676900" cy="2125766"/>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r="23636"/>
                    <a:stretch>
                      <a:fillRect/>
                    </a:stretch>
                  </pic:blipFill>
                  <pic:spPr bwMode="auto">
                    <a:xfrm>
                      <a:off x="0" y="0"/>
                      <a:ext cx="5676900" cy="2125766"/>
                    </a:xfrm>
                    <a:prstGeom prst="rect">
                      <a:avLst/>
                    </a:prstGeom>
                    <a:noFill/>
                    <a:ln w="9525">
                      <a:noFill/>
                      <a:miter lim="800000"/>
                      <a:headEnd/>
                      <a:tailEnd/>
                    </a:ln>
                  </pic:spPr>
                </pic:pic>
              </a:graphicData>
            </a:graphic>
          </wp:inline>
        </w:drawing>
      </w:r>
    </w:p>
    <w:p w:rsidR="000A7539" w:rsidRDefault="002608A3" w:rsidP="009F4D7F">
      <w:r w:rsidRPr="002608A3">
        <w:t xml:space="preserve">Zdroj: </w:t>
      </w:r>
      <w:r w:rsidR="000A7539" w:rsidRPr="002608A3">
        <w:t>http://wwwinfo.mfcr.cz/cgi-bin/ares/darv_or.cgi?ico=27506096&amp;jazyk=cz&amp;xml=1</w:t>
      </w:r>
    </w:p>
    <w:p w:rsidR="000A7539" w:rsidRDefault="000A7539" w:rsidP="009F4D7F"/>
    <w:p w:rsidR="00045E9D" w:rsidRPr="000F7E1C" w:rsidRDefault="00045E9D" w:rsidP="000F7E1C">
      <w:pPr>
        <w:pStyle w:val="Nadpis4"/>
      </w:pPr>
      <w:r w:rsidRPr="000F7E1C">
        <w:t>Zakladatelská struktura MAS Litomy</w:t>
      </w:r>
      <w:r w:rsidR="006E6E9A">
        <w:t>š</w:t>
      </w:r>
      <w:r w:rsidRPr="000F7E1C">
        <w:t>lsko o.p.s.</w:t>
      </w:r>
    </w:p>
    <w:p w:rsidR="00045E9D" w:rsidRDefault="00045E9D" w:rsidP="009F4D7F"/>
    <w:tbl>
      <w:tblPr>
        <w:tblW w:w="6394" w:type="dxa"/>
        <w:jc w:val="center"/>
        <w:tblCellMar>
          <w:left w:w="70" w:type="dxa"/>
          <w:right w:w="70" w:type="dxa"/>
        </w:tblCellMar>
        <w:tblLook w:val="04A0"/>
      </w:tblPr>
      <w:tblGrid>
        <w:gridCol w:w="582"/>
        <w:gridCol w:w="1701"/>
        <w:gridCol w:w="4111"/>
      </w:tblGrid>
      <w:tr w:rsidR="00C51693" w:rsidRPr="00C51693" w:rsidTr="004405AF">
        <w:trPr>
          <w:trHeight w:val="300"/>
          <w:jc w:val="center"/>
        </w:trPr>
        <w:tc>
          <w:tcPr>
            <w:tcW w:w="6394" w:type="dxa"/>
            <w:gridSpan w:val="3"/>
            <w:tcBorders>
              <w:top w:val="nil"/>
              <w:left w:val="nil"/>
              <w:bottom w:val="nil"/>
              <w:right w:val="nil"/>
            </w:tcBorders>
            <w:shd w:val="clear" w:color="000000" w:fill="17375D"/>
            <w:noWrap/>
            <w:vAlign w:val="bottom"/>
            <w:hideMark/>
          </w:tcPr>
          <w:p w:rsidR="00C51693" w:rsidRPr="00C51693" w:rsidRDefault="00C51693" w:rsidP="00C51693">
            <w:pPr>
              <w:suppressAutoHyphens w:val="0"/>
              <w:jc w:val="center"/>
              <w:rPr>
                <w:rFonts w:ascii="Calibri" w:hAnsi="Calibri" w:cs="Calibri"/>
                <w:b/>
                <w:bCs/>
                <w:color w:val="FFFFFF"/>
                <w:szCs w:val="22"/>
                <w:lang w:eastAsia="cs-CZ"/>
              </w:rPr>
            </w:pPr>
            <w:r w:rsidRPr="00C51693">
              <w:rPr>
                <w:rFonts w:ascii="Calibri" w:hAnsi="Calibri" w:cs="Calibri"/>
                <w:b/>
                <w:bCs/>
                <w:color w:val="FFFFFF"/>
                <w:szCs w:val="22"/>
                <w:lang w:eastAsia="cs-CZ"/>
              </w:rPr>
              <w:t>Zakladatelé MAS Litomyšlsko o.p.s.</w:t>
            </w:r>
            <w:r w:rsidR="0067726A">
              <w:rPr>
                <w:rFonts w:ascii="Calibri" w:hAnsi="Calibri" w:cs="Calibri"/>
                <w:b/>
                <w:bCs/>
                <w:color w:val="FFFFFF"/>
                <w:szCs w:val="22"/>
                <w:lang w:eastAsia="cs-CZ"/>
              </w:rPr>
              <w:t xml:space="preserve"> (původní)</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Město Proseč</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270741</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53944 Proseč 18</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2</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Horky</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579513</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Horky 55</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3</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Bohuňovice</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276421</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Bohuňovice 13</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4</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Sedliště</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277347</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Sedliště 46</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5</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Trstěnice</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277509</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56957 Trstěnice 238</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6</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Cerekvice nad Loučnou</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276537</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56953 Cerekvice nad Loučnou 132</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7</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Růžový palouček</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129771</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56951 Morašice 180</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8</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chovatelů a pěstitelů Litomyšl</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48154814</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Zahájská 369, 57001 Litomyšl</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9</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67726A" w:rsidP="00C51693">
            <w:pPr>
              <w:suppressAutoHyphens w:val="0"/>
              <w:jc w:val="left"/>
              <w:rPr>
                <w:rFonts w:ascii="Calibri" w:hAnsi="Calibri" w:cs="Calibri"/>
                <w:color w:val="000000"/>
                <w:szCs w:val="22"/>
                <w:lang w:eastAsia="cs-CZ"/>
              </w:rPr>
            </w:pPr>
            <w:r>
              <w:rPr>
                <w:rFonts w:ascii="Calibri" w:hAnsi="Calibri" w:cs="Calibri"/>
                <w:color w:val="000000"/>
                <w:szCs w:val="22"/>
                <w:lang w:eastAsia="cs-CZ"/>
              </w:rPr>
              <w:t xml:space="preserve">Oblastní </w:t>
            </w:r>
            <w:r w:rsidR="00C51693" w:rsidRPr="00C51693">
              <w:rPr>
                <w:rFonts w:ascii="Calibri" w:hAnsi="Calibri" w:cs="Calibri"/>
                <w:color w:val="000000"/>
                <w:szCs w:val="22"/>
                <w:lang w:eastAsia="cs-CZ"/>
              </w:rPr>
              <w:t>charita Nové Hrady u Skutče</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60102411</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Chotovice 50</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10</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Rudolf Skřivan</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18878172</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Prokešova 912, 57001 Litomyšl</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11</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Stavební sdružení Boštík s.r.o.</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25936484</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Poříčí u Litomyšle 117</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12</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Sloupnice</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131024</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56553 Sloupnice - Dolní Sloupnice 134</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13</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Dolní Újezd</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129488</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56961 Dolní Újezd 471</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14</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Farní charita Litomyšl</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47489839</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Bělidla 392, 57001 Litomyšl</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15</w:t>
            </w: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Miloš Macek</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18880703</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Litomyšl - Sedliště 71</w:t>
            </w:r>
          </w:p>
        </w:tc>
      </w:tr>
      <w:tr w:rsidR="00C51693" w:rsidRPr="00C51693" w:rsidTr="004405AF">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C51693" w:rsidRPr="00C51693" w:rsidRDefault="00C51693" w:rsidP="00C51693">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16</w:t>
            </w: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Mikroregion Litomyšlsko, svazek obcí</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70906696</w:t>
            </w:r>
          </w:p>
        </w:tc>
      </w:tr>
      <w:tr w:rsidR="00C51693" w:rsidRPr="00C51693" w:rsidTr="004405AF">
        <w:trPr>
          <w:trHeight w:hRule="exact" w:val="301"/>
          <w:jc w:val="center"/>
        </w:trPr>
        <w:tc>
          <w:tcPr>
            <w:tcW w:w="582" w:type="dxa"/>
            <w:vMerge/>
            <w:tcBorders>
              <w:top w:val="nil"/>
              <w:left w:val="nil"/>
              <w:bottom w:val="nil"/>
              <w:right w:val="nil"/>
            </w:tcBorders>
            <w:vAlign w:val="center"/>
            <w:hideMark/>
          </w:tcPr>
          <w:p w:rsidR="00C51693" w:rsidRPr="00C51693" w:rsidRDefault="00C51693" w:rsidP="00C51693">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C51693" w:rsidRPr="00C51693" w:rsidRDefault="00C51693" w:rsidP="00C51693">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Bří Šťastných 1000, 57001 Litomyšl</w:t>
            </w:r>
          </w:p>
        </w:tc>
      </w:tr>
    </w:tbl>
    <w:p w:rsidR="00045E9D" w:rsidRDefault="00045E9D" w:rsidP="009F4D7F"/>
    <w:p w:rsidR="0067726A" w:rsidRDefault="0067726A" w:rsidP="009F4D7F">
      <w:r>
        <w:t>V roce 2015 MAS Litomyšlsko o.p.s. z důvodů plnění podmínek standardů kladených na místní akční skupiny ČR prošla restrukturalizací. Při této příležitosti vyjádřil jeden ze zakladatelů vůli vystoupit s uskupení zakladatelů MAS Litomyšlsko o.p.s., tako vůle byla akceptována a odrazila se ve změně počtu zakladatelů (viz tabulka níže).</w:t>
      </w:r>
    </w:p>
    <w:tbl>
      <w:tblPr>
        <w:tblW w:w="6394" w:type="dxa"/>
        <w:jc w:val="center"/>
        <w:tblCellMar>
          <w:left w:w="70" w:type="dxa"/>
          <w:right w:w="70" w:type="dxa"/>
        </w:tblCellMar>
        <w:tblLook w:val="04A0"/>
      </w:tblPr>
      <w:tblGrid>
        <w:gridCol w:w="582"/>
        <w:gridCol w:w="1701"/>
        <w:gridCol w:w="4111"/>
      </w:tblGrid>
      <w:tr w:rsidR="0067726A" w:rsidRPr="00C51693" w:rsidTr="008A5FAB">
        <w:trPr>
          <w:trHeight w:val="300"/>
          <w:jc w:val="center"/>
        </w:trPr>
        <w:tc>
          <w:tcPr>
            <w:tcW w:w="6394" w:type="dxa"/>
            <w:gridSpan w:val="3"/>
            <w:tcBorders>
              <w:top w:val="nil"/>
              <w:left w:val="nil"/>
              <w:bottom w:val="nil"/>
              <w:right w:val="nil"/>
            </w:tcBorders>
            <w:shd w:val="clear" w:color="000000" w:fill="17375D"/>
            <w:noWrap/>
            <w:vAlign w:val="bottom"/>
            <w:hideMark/>
          </w:tcPr>
          <w:p w:rsidR="0067726A" w:rsidRPr="00C51693" w:rsidRDefault="0067726A" w:rsidP="008A5FAB">
            <w:pPr>
              <w:suppressAutoHyphens w:val="0"/>
              <w:jc w:val="center"/>
              <w:rPr>
                <w:rFonts w:ascii="Calibri" w:hAnsi="Calibri" w:cs="Calibri"/>
                <w:b/>
                <w:bCs/>
                <w:color w:val="FFFFFF"/>
                <w:szCs w:val="22"/>
                <w:lang w:eastAsia="cs-CZ"/>
              </w:rPr>
            </w:pPr>
            <w:r w:rsidRPr="00C51693">
              <w:rPr>
                <w:rFonts w:ascii="Calibri" w:hAnsi="Calibri" w:cs="Calibri"/>
                <w:b/>
                <w:bCs/>
                <w:color w:val="FFFFFF"/>
                <w:szCs w:val="22"/>
                <w:lang w:eastAsia="cs-CZ"/>
              </w:rPr>
              <w:t>Zakladatelé MAS Litomyšlsko o.p.s.</w:t>
            </w:r>
            <w:r>
              <w:rPr>
                <w:rFonts w:ascii="Calibri" w:hAnsi="Calibri" w:cs="Calibri"/>
                <w:b/>
                <w:bCs/>
                <w:color w:val="FFFFFF"/>
                <w:szCs w:val="22"/>
                <w:lang w:eastAsia="cs-CZ"/>
              </w:rPr>
              <w:t xml:space="preserve"> (původní)</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w:t>
            </w: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Město Proseč</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270741</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53944 Proseč 18</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2</w:t>
            </w: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Horky</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579513</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Horky 55</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lastRenderedPageBreak/>
              <w:t>3</w:t>
            </w: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Bohuňovice</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276421</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Bohuňovice 13</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4</w:t>
            </w: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Sedliště</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277347</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Sedliště 46</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5</w:t>
            </w: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Trstěnice</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277509</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56957 Trstěnice 238</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6</w:t>
            </w: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Obec Cerekvice nad Loučnou</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276537</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56953 Cerekvice nad Loučnou 132</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7</w:t>
            </w: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Růžový palouček</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129771</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56951 Morašice 180</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DBE5F1"/>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8</w:t>
            </w: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chovatelů a pěstitelů Litomyšl</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48154814</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DBE5F1"/>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DBE5F1"/>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Zahájská 369, 57001 Litomyšl</w:t>
            </w:r>
          </w:p>
        </w:tc>
      </w:tr>
      <w:tr w:rsidR="0067726A" w:rsidRPr="00C51693" w:rsidTr="008A5FAB">
        <w:trPr>
          <w:trHeight w:hRule="exact" w:val="301"/>
          <w:jc w:val="center"/>
        </w:trPr>
        <w:tc>
          <w:tcPr>
            <w:tcW w:w="582" w:type="dxa"/>
            <w:vMerge w:val="restart"/>
            <w:tcBorders>
              <w:top w:val="nil"/>
              <w:left w:val="nil"/>
              <w:bottom w:val="nil"/>
              <w:right w:val="nil"/>
            </w:tcBorders>
            <w:shd w:val="clear" w:color="000000" w:fill="8DB4E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9</w:t>
            </w: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Pr>
                <w:rFonts w:ascii="Calibri" w:hAnsi="Calibri" w:cs="Calibri"/>
                <w:color w:val="000000"/>
                <w:szCs w:val="22"/>
                <w:lang w:eastAsia="cs-CZ"/>
              </w:rPr>
              <w:t xml:space="preserve">Oblastní </w:t>
            </w:r>
            <w:r w:rsidRPr="00C51693">
              <w:rPr>
                <w:rFonts w:ascii="Calibri" w:hAnsi="Calibri" w:cs="Calibri"/>
                <w:color w:val="000000"/>
                <w:szCs w:val="22"/>
                <w:lang w:eastAsia="cs-CZ"/>
              </w:rPr>
              <w:t>charita Nové Hrady u Skutče</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60102411</w:t>
            </w:r>
          </w:p>
        </w:tc>
      </w:tr>
      <w:tr w:rsidR="0067726A" w:rsidRPr="00C51693" w:rsidTr="008A5FAB">
        <w:trPr>
          <w:trHeight w:hRule="exact" w:val="301"/>
          <w:jc w:val="center"/>
        </w:trPr>
        <w:tc>
          <w:tcPr>
            <w:tcW w:w="582" w:type="dxa"/>
            <w:vMerge/>
            <w:tcBorders>
              <w:top w:val="nil"/>
              <w:left w:val="nil"/>
              <w:bottom w:val="nil"/>
              <w:right w:val="nil"/>
            </w:tcBorders>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000000" w:fill="8DB4E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000000" w:fill="8DB4E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Chotovice 50</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DBE5F1" w:themeFill="accent1" w:themeFillTint="3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11</w:t>
            </w: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Stavební sdružení Boštík s.r.o.</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25936484</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Poříčí u Litomyšle 117</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8DB3E2" w:themeFill="text2" w:themeFillTint="66"/>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12</w:t>
            </w: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Sloupnice</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131024</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56553 Sloupnice - Dolní Sloupnice 134</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DBE5F1" w:themeFill="accent1" w:themeFillTint="3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13</w:t>
            </w: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Zemědělské družstvo Dolní Újezd</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129488</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56961 Dolní Újezd 471</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8DB3E2" w:themeFill="text2" w:themeFillTint="66"/>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14</w:t>
            </w: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Farní charita Litomyšl</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47489839</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Bělidla 392, 57001 Litomyšl</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DBE5F1" w:themeFill="accent1" w:themeFillTint="33"/>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15</w:t>
            </w: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Miloš Macek</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18880703</w:t>
            </w:r>
          </w:p>
        </w:tc>
      </w:tr>
      <w:tr w:rsidR="0067726A" w:rsidRPr="00C51693" w:rsidTr="0067726A">
        <w:trPr>
          <w:trHeight w:hRule="exact" w:val="301"/>
          <w:jc w:val="center"/>
        </w:trPr>
        <w:tc>
          <w:tcPr>
            <w:tcW w:w="582" w:type="dxa"/>
            <w:vMerge/>
            <w:tcBorders>
              <w:top w:val="nil"/>
              <w:left w:val="nil"/>
              <w:bottom w:val="nil"/>
              <w:right w:val="nil"/>
            </w:tcBorders>
            <w:shd w:val="clear" w:color="auto" w:fill="DBE5F1" w:themeFill="accent1" w:themeFillTint="33"/>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DBE5F1" w:themeFill="accent1" w:themeFillTint="33"/>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DBE5F1" w:themeFill="accent1" w:themeFillTint="33"/>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57001 Litomyšl - Sedliště 71</w:t>
            </w:r>
          </w:p>
        </w:tc>
      </w:tr>
      <w:tr w:rsidR="0067726A" w:rsidRPr="00C51693" w:rsidTr="0067726A">
        <w:trPr>
          <w:trHeight w:hRule="exact" w:val="301"/>
          <w:jc w:val="center"/>
        </w:trPr>
        <w:tc>
          <w:tcPr>
            <w:tcW w:w="582" w:type="dxa"/>
            <w:vMerge w:val="restart"/>
            <w:tcBorders>
              <w:top w:val="nil"/>
              <w:left w:val="nil"/>
              <w:bottom w:val="nil"/>
              <w:right w:val="nil"/>
            </w:tcBorders>
            <w:shd w:val="clear" w:color="auto" w:fill="8DB3E2" w:themeFill="text2" w:themeFillTint="66"/>
            <w:noWrap/>
            <w:vAlign w:val="center"/>
            <w:hideMark/>
          </w:tcPr>
          <w:p w:rsidR="0067726A" w:rsidRPr="00C51693" w:rsidRDefault="0067726A" w:rsidP="008A5FAB">
            <w:pPr>
              <w:suppressAutoHyphens w:val="0"/>
              <w:jc w:val="center"/>
              <w:rPr>
                <w:rFonts w:ascii="Calibri" w:hAnsi="Calibri" w:cs="Calibri"/>
                <w:color w:val="000000"/>
                <w:szCs w:val="22"/>
                <w:lang w:eastAsia="cs-CZ"/>
              </w:rPr>
            </w:pPr>
            <w:r w:rsidRPr="00C51693">
              <w:rPr>
                <w:rFonts w:ascii="Calibri" w:hAnsi="Calibri" w:cs="Calibri"/>
                <w:color w:val="000000"/>
                <w:szCs w:val="22"/>
                <w:lang w:eastAsia="cs-CZ"/>
              </w:rPr>
              <w:t>16</w:t>
            </w: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obchodní firma:</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Mikroregion Litomyšlsko, svazek obcí</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IČ:</w:t>
            </w:r>
          </w:p>
        </w:tc>
        <w:tc>
          <w:tcPr>
            <w:tcW w:w="411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70906696</w:t>
            </w:r>
          </w:p>
        </w:tc>
      </w:tr>
      <w:tr w:rsidR="0067726A" w:rsidRPr="00C51693" w:rsidTr="0067726A">
        <w:trPr>
          <w:trHeight w:hRule="exact" w:val="301"/>
          <w:jc w:val="center"/>
        </w:trPr>
        <w:tc>
          <w:tcPr>
            <w:tcW w:w="582" w:type="dxa"/>
            <w:vMerge/>
            <w:tcBorders>
              <w:top w:val="nil"/>
              <w:left w:val="nil"/>
              <w:bottom w:val="nil"/>
              <w:right w:val="nil"/>
            </w:tcBorders>
            <w:shd w:val="clear" w:color="auto" w:fill="8DB3E2" w:themeFill="text2" w:themeFillTint="66"/>
            <w:vAlign w:val="center"/>
            <w:hideMark/>
          </w:tcPr>
          <w:p w:rsidR="0067726A" w:rsidRPr="00C51693" w:rsidRDefault="0067726A" w:rsidP="008A5FAB">
            <w:pPr>
              <w:suppressAutoHyphens w:val="0"/>
              <w:jc w:val="left"/>
              <w:rPr>
                <w:rFonts w:ascii="Calibri" w:hAnsi="Calibri" w:cs="Calibri"/>
                <w:color w:val="000000"/>
                <w:szCs w:val="22"/>
                <w:lang w:eastAsia="cs-CZ"/>
              </w:rPr>
            </w:pPr>
          </w:p>
        </w:tc>
        <w:tc>
          <w:tcPr>
            <w:tcW w:w="1701" w:type="dxa"/>
            <w:tcBorders>
              <w:top w:val="nil"/>
              <w:left w:val="nil"/>
              <w:bottom w:val="nil"/>
              <w:right w:val="nil"/>
            </w:tcBorders>
            <w:shd w:val="clear" w:color="auto" w:fill="8DB3E2" w:themeFill="text2" w:themeFillTint="66"/>
            <w:noWrap/>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sídlo:</w:t>
            </w:r>
          </w:p>
        </w:tc>
        <w:tc>
          <w:tcPr>
            <w:tcW w:w="4111" w:type="dxa"/>
            <w:tcBorders>
              <w:top w:val="nil"/>
              <w:left w:val="nil"/>
              <w:bottom w:val="nil"/>
              <w:right w:val="nil"/>
            </w:tcBorders>
            <w:shd w:val="clear" w:color="auto" w:fill="8DB3E2" w:themeFill="text2" w:themeFillTint="66"/>
            <w:vAlign w:val="bottom"/>
            <w:hideMark/>
          </w:tcPr>
          <w:p w:rsidR="0067726A" w:rsidRPr="00C51693" w:rsidRDefault="0067726A" w:rsidP="008A5FAB">
            <w:pPr>
              <w:suppressAutoHyphens w:val="0"/>
              <w:jc w:val="left"/>
              <w:rPr>
                <w:rFonts w:ascii="Calibri" w:hAnsi="Calibri" w:cs="Calibri"/>
                <w:color w:val="000000"/>
                <w:szCs w:val="22"/>
                <w:lang w:eastAsia="cs-CZ"/>
              </w:rPr>
            </w:pPr>
            <w:r w:rsidRPr="00C51693">
              <w:rPr>
                <w:rFonts w:ascii="Calibri" w:hAnsi="Calibri" w:cs="Calibri"/>
                <w:color w:val="000000"/>
                <w:szCs w:val="22"/>
                <w:lang w:eastAsia="cs-CZ"/>
              </w:rPr>
              <w:t>Bří Šťastných 1000, 57001 Litomyšl</w:t>
            </w:r>
          </w:p>
        </w:tc>
      </w:tr>
    </w:tbl>
    <w:p w:rsidR="0067726A" w:rsidRDefault="0067726A" w:rsidP="009F4D7F"/>
    <w:p w:rsidR="000A7539" w:rsidRPr="000F7E1C" w:rsidRDefault="00045E9D" w:rsidP="000F7E1C">
      <w:pPr>
        <w:pStyle w:val="Nadpis4"/>
      </w:pPr>
      <w:r w:rsidRPr="000F7E1C">
        <w:lastRenderedPageBreak/>
        <w:t>Povinné orgány MAS Litomy</w:t>
      </w:r>
      <w:r w:rsidR="006E6E9A">
        <w:t>š</w:t>
      </w:r>
      <w:r w:rsidRPr="000F7E1C">
        <w:t>lsko o.p.s.</w:t>
      </w:r>
    </w:p>
    <w:p w:rsidR="004336AE" w:rsidRPr="009F4D7F" w:rsidRDefault="004336AE" w:rsidP="009F4D7F">
      <w:r w:rsidRPr="009F4D7F">
        <w:t>MAS Litomyšlsko o.p.s. plní legislativní podmínky kladené na orgány společnosti a jejich kompetence (veškeré konkrétní údaje jdou platné k červnu 2014).</w:t>
      </w:r>
      <w:r w:rsidR="009F4D7F">
        <w:t xml:space="preserve"> Kompetence jednotli</w:t>
      </w:r>
      <w:r w:rsidR="006E6E9A">
        <w:t>vých orgánů jsou dále upraveny s</w:t>
      </w:r>
      <w:r w:rsidR="009F4D7F">
        <w:t>tatutem společnosti.</w:t>
      </w:r>
    </w:p>
    <w:p w:rsidR="004336AE" w:rsidRPr="009F4D7F" w:rsidRDefault="004336AE" w:rsidP="009F4D7F">
      <w:r w:rsidRPr="009F4D7F">
        <w:t xml:space="preserve">Statutárním orgánem je ředitel obecně prospěšné společnosti. Dále má MAS Litomyšlsko o.p.s. Správní radu, kterou tvoří 12 členů, z nichž je volen její předseda. Funkci kontrolního orgánu pak plní Dozorčí rada, která je tříčlenná. </w:t>
      </w:r>
    </w:p>
    <w:p w:rsidR="009F4D7F" w:rsidRPr="004336AE" w:rsidRDefault="009F4D7F" w:rsidP="009F4D7F"/>
    <w:tbl>
      <w:tblPr>
        <w:tblW w:w="6394" w:type="dxa"/>
        <w:jc w:val="center"/>
        <w:tblCellMar>
          <w:left w:w="70" w:type="dxa"/>
          <w:right w:w="70" w:type="dxa"/>
        </w:tblCellMar>
        <w:tblLook w:val="04A0"/>
      </w:tblPr>
      <w:tblGrid>
        <w:gridCol w:w="463"/>
        <w:gridCol w:w="1196"/>
        <w:gridCol w:w="4735"/>
      </w:tblGrid>
      <w:tr w:rsidR="004336AE" w:rsidRPr="009F4D7F" w:rsidTr="004405AF">
        <w:trPr>
          <w:trHeight w:val="300"/>
          <w:jc w:val="center"/>
        </w:trPr>
        <w:tc>
          <w:tcPr>
            <w:tcW w:w="6394" w:type="dxa"/>
            <w:gridSpan w:val="3"/>
            <w:tcBorders>
              <w:top w:val="nil"/>
              <w:left w:val="nil"/>
              <w:bottom w:val="nil"/>
              <w:right w:val="nil"/>
            </w:tcBorders>
            <w:shd w:val="clear" w:color="000000" w:fill="17375D"/>
            <w:noWrap/>
            <w:vAlign w:val="bottom"/>
            <w:hideMark/>
          </w:tcPr>
          <w:p w:rsidR="004336AE" w:rsidRPr="009F4D7F" w:rsidRDefault="004336AE" w:rsidP="009F4D7F">
            <w:pPr>
              <w:jc w:val="center"/>
              <w:rPr>
                <w:sz w:val="20"/>
                <w:szCs w:val="20"/>
                <w:lang w:eastAsia="cs-CZ"/>
              </w:rPr>
            </w:pPr>
            <w:r w:rsidRPr="009F4D7F">
              <w:rPr>
                <w:b/>
                <w:sz w:val="20"/>
                <w:szCs w:val="20"/>
                <w:lang w:eastAsia="cs-CZ"/>
              </w:rPr>
              <w:t>Statutární orgán</w:t>
            </w:r>
          </w:p>
        </w:tc>
      </w:tr>
      <w:tr w:rsidR="004336AE" w:rsidRPr="009F4D7F" w:rsidTr="004405AF">
        <w:trPr>
          <w:trHeight w:hRule="exact" w:val="340"/>
          <w:jc w:val="center"/>
        </w:trPr>
        <w:tc>
          <w:tcPr>
            <w:tcW w:w="463" w:type="dxa"/>
            <w:vMerge w:val="restart"/>
            <w:tcBorders>
              <w:top w:val="nil"/>
              <w:left w:val="nil"/>
              <w:bottom w:val="nil"/>
              <w:right w:val="nil"/>
            </w:tcBorders>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1</w:t>
            </w:r>
          </w:p>
        </w:tc>
        <w:tc>
          <w:tcPr>
            <w:tcW w:w="1196"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funkce:</w:t>
            </w:r>
          </w:p>
        </w:tc>
        <w:tc>
          <w:tcPr>
            <w:tcW w:w="4735"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Ředitel OPS</w:t>
            </w:r>
          </w:p>
        </w:tc>
      </w:tr>
      <w:tr w:rsidR="004336AE" w:rsidRPr="009F4D7F" w:rsidTr="004405AF">
        <w:trPr>
          <w:trHeight w:hRule="exact" w:val="340"/>
          <w:jc w:val="center"/>
        </w:trPr>
        <w:tc>
          <w:tcPr>
            <w:tcW w:w="463" w:type="dxa"/>
            <w:vMerge/>
            <w:tcBorders>
              <w:top w:val="nil"/>
              <w:left w:val="nil"/>
              <w:bottom w:val="nil"/>
              <w:right w:val="nil"/>
            </w:tcBorders>
            <w:vAlign w:val="center"/>
            <w:hideMark/>
          </w:tcPr>
          <w:p w:rsidR="004336AE" w:rsidRPr="009F4D7F" w:rsidRDefault="004336AE" w:rsidP="009F4D7F">
            <w:pPr>
              <w:rPr>
                <w:sz w:val="20"/>
                <w:szCs w:val="20"/>
                <w:lang w:eastAsia="cs-CZ"/>
              </w:rPr>
            </w:pPr>
          </w:p>
        </w:tc>
        <w:tc>
          <w:tcPr>
            <w:tcW w:w="1196"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jméno:</w:t>
            </w:r>
          </w:p>
        </w:tc>
        <w:tc>
          <w:tcPr>
            <w:tcW w:w="4735"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PETR VOMÁČKA, datum narození: 1.9.1983</w:t>
            </w:r>
          </w:p>
        </w:tc>
      </w:tr>
    </w:tbl>
    <w:p w:rsidR="001E0270" w:rsidRDefault="001E0270" w:rsidP="009F4D7F"/>
    <w:tbl>
      <w:tblPr>
        <w:tblW w:w="6420" w:type="dxa"/>
        <w:jc w:val="center"/>
        <w:tblCellMar>
          <w:left w:w="70" w:type="dxa"/>
          <w:right w:w="70" w:type="dxa"/>
        </w:tblCellMar>
        <w:tblLook w:val="04A0"/>
      </w:tblPr>
      <w:tblGrid>
        <w:gridCol w:w="517"/>
        <w:gridCol w:w="1220"/>
        <w:gridCol w:w="4683"/>
      </w:tblGrid>
      <w:tr w:rsidR="004336AE" w:rsidRPr="009F4D7F" w:rsidTr="004405AF">
        <w:trPr>
          <w:trHeight w:val="315"/>
          <w:jc w:val="center"/>
        </w:trPr>
        <w:tc>
          <w:tcPr>
            <w:tcW w:w="6420" w:type="dxa"/>
            <w:gridSpan w:val="3"/>
            <w:shd w:val="clear" w:color="000000" w:fill="17375D"/>
            <w:noWrap/>
            <w:vAlign w:val="bottom"/>
            <w:hideMark/>
          </w:tcPr>
          <w:p w:rsidR="004336AE" w:rsidRPr="009F4D7F" w:rsidRDefault="004336AE" w:rsidP="009F4D7F">
            <w:pPr>
              <w:jc w:val="center"/>
              <w:rPr>
                <w:sz w:val="20"/>
                <w:szCs w:val="20"/>
                <w:lang w:eastAsia="cs-CZ"/>
              </w:rPr>
            </w:pPr>
            <w:r w:rsidRPr="009F4D7F">
              <w:rPr>
                <w:b/>
                <w:sz w:val="20"/>
                <w:szCs w:val="20"/>
                <w:lang w:eastAsia="cs-CZ"/>
              </w:rPr>
              <w:t>Správní rada</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1</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MARTIN NOVÁK, datum narození: 27.5.1966</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předseda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2</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RADOMIL KAŠPAR, datum narození: 2.8.1965</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3</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LUCIE OHEROVÁ, datum narození: 28.11.1975</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4</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Vlasta Macková, datum narození: 8.4.1973</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5</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DANIEL KUČERA, datum narození: 10.4.1973</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6</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LADISLAV CHLEBOUN, datum narození: 1.5.1962</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7</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PETR FALTYS, datum narození: 16.3.1987</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8</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JIŘÍ STOROŽENKO, datum narození: 6.4.1975</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t>9</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LUBOŠ ŠPLÍCHAL, datum narození: 25.5.1967</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10</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PAVEL PEŠATA, datum narození: 14.5.1965</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8DB4E3"/>
            <w:noWrap/>
            <w:vAlign w:val="center"/>
            <w:hideMark/>
          </w:tcPr>
          <w:p w:rsidR="004336AE" w:rsidRPr="009F4D7F" w:rsidRDefault="004336AE" w:rsidP="00C51693">
            <w:pPr>
              <w:jc w:val="center"/>
              <w:rPr>
                <w:sz w:val="20"/>
                <w:szCs w:val="20"/>
                <w:lang w:eastAsia="cs-CZ"/>
              </w:rPr>
            </w:pPr>
            <w:r w:rsidRPr="009F4D7F">
              <w:rPr>
                <w:sz w:val="20"/>
                <w:szCs w:val="20"/>
                <w:lang w:eastAsia="cs-CZ"/>
              </w:rPr>
              <w:lastRenderedPageBreak/>
              <w:t>11</w:t>
            </w: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RADEK BOŠTÍK, datum narození: 13.3.1969</w:t>
            </w:r>
          </w:p>
        </w:tc>
      </w:tr>
      <w:tr w:rsidR="004336AE" w:rsidRPr="009F4D7F" w:rsidTr="004405AF">
        <w:trPr>
          <w:trHeight w:hRule="exact" w:val="340"/>
          <w:jc w:val="center"/>
        </w:trPr>
        <w:tc>
          <w:tcPr>
            <w:tcW w:w="517" w:type="dxa"/>
            <w:vMerge/>
            <w:vAlign w:val="center"/>
            <w:hideMark/>
          </w:tcPr>
          <w:p w:rsidR="004336AE" w:rsidRPr="009F4D7F" w:rsidRDefault="004336AE" w:rsidP="00C51693">
            <w:pPr>
              <w:jc w:val="center"/>
              <w:rPr>
                <w:sz w:val="20"/>
                <w:szCs w:val="20"/>
                <w:lang w:eastAsia="cs-CZ"/>
              </w:rPr>
            </w:pPr>
          </w:p>
        </w:tc>
        <w:tc>
          <w:tcPr>
            <w:tcW w:w="1220"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8DB4E3"/>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r w:rsidR="004336AE" w:rsidRPr="009F4D7F" w:rsidTr="004405AF">
        <w:trPr>
          <w:trHeight w:hRule="exact" w:val="340"/>
          <w:jc w:val="center"/>
        </w:trPr>
        <w:tc>
          <w:tcPr>
            <w:tcW w:w="517" w:type="dxa"/>
            <w:vMerge w:val="restart"/>
            <w:shd w:val="clear" w:color="000000" w:fill="DBE5F1"/>
            <w:noWrap/>
            <w:vAlign w:val="center"/>
            <w:hideMark/>
          </w:tcPr>
          <w:p w:rsidR="004336AE" w:rsidRPr="009F4D7F" w:rsidRDefault="004336AE" w:rsidP="00C51693">
            <w:pPr>
              <w:jc w:val="center"/>
              <w:rPr>
                <w:sz w:val="20"/>
                <w:szCs w:val="20"/>
                <w:lang w:eastAsia="cs-CZ"/>
              </w:rPr>
            </w:pPr>
            <w:r w:rsidRPr="009F4D7F">
              <w:rPr>
                <w:sz w:val="20"/>
                <w:szCs w:val="20"/>
                <w:lang w:eastAsia="cs-CZ"/>
              </w:rPr>
              <w:t>12</w:t>
            </w: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jméno:</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JIŘÍ BARTOŠ, datum narození: 19.10.1964</w:t>
            </w:r>
          </w:p>
        </w:tc>
      </w:tr>
      <w:tr w:rsidR="004336AE" w:rsidRPr="009F4D7F" w:rsidTr="004405AF">
        <w:trPr>
          <w:trHeight w:hRule="exact" w:val="340"/>
          <w:jc w:val="center"/>
        </w:trPr>
        <w:tc>
          <w:tcPr>
            <w:tcW w:w="517" w:type="dxa"/>
            <w:vMerge/>
            <w:vAlign w:val="center"/>
            <w:hideMark/>
          </w:tcPr>
          <w:p w:rsidR="004336AE" w:rsidRPr="009F4D7F" w:rsidRDefault="004336AE" w:rsidP="009F4D7F">
            <w:pPr>
              <w:rPr>
                <w:sz w:val="20"/>
                <w:szCs w:val="20"/>
                <w:lang w:eastAsia="cs-CZ"/>
              </w:rPr>
            </w:pPr>
          </w:p>
        </w:tc>
        <w:tc>
          <w:tcPr>
            <w:tcW w:w="1220"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funkce:</w:t>
            </w:r>
          </w:p>
        </w:tc>
        <w:tc>
          <w:tcPr>
            <w:tcW w:w="4683" w:type="dxa"/>
            <w:shd w:val="clear" w:color="000000" w:fill="DBE5F1"/>
            <w:vAlign w:val="center"/>
            <w:hideMark/>
          </w:tcPr>
          <w:p w:rsidR="004336AE" w:rsidRPr="009F4D7F" w:rsidRDefault="004336AE" w:rsidP="009F4D7F">
            <w:pPr>
              <w:rPr>
                <w:sz w:val="20"/>
                <w:szCs w:val="20"/>
                <w:lang w:eastAsia="cs-CZ"/>
              </w:rPr>
            </w:pPr>
            <w:r w:rsidRPr="009F4D7F">
              <w:rPr>
                <w:sz w:val="20"/>
                <w:szCs w:val="20"/>
                <w:lang w:eastAsia="cs-CZ"/>
              </w:rPr>
              <w:t>člen správní rady</w:t>
            </w:r>
          </w:p>
        </w:tc>
      </w:tr>
    </w:tbl>
    <w:p w:rsidR="004336AE" w:rsidRDefault="004336AE" w:rsidP="009F4D7F"/>
    <w:tbl>
      <w:tblPr>
        <w:tblW w:w="6420" w:type="dxa"/>
        <w:jc w:val="center"/>
        <w:tblCellMar>
          <w:left w:w="70" w:type="dxa"/>
          <w:right w:w="70" w:type="dxa"/>
        </w:tblCellMar>
        <w:tblLook w:val="04A0"/>
      </w:tblPr>
      <w:tblGrid>
        <w:gridCol w:w="252"/>
        <w:gridCol w:w="1419"/>
        <w:gridCol w:w="4749"/>
      </w:tblGrid>
      <w:tr w:rsidR="004336AE" w:rsidRPr="009F4D7F" w:rsidTr="004405AF">
        <w:trPr>
          <w:trHeight w:val="300"/>
          <w:jc w:val="center"/>
        </w:trPr>
        <w:tc>
          <w:tcPr>
            <w:tcW w:w="6420" w:type="dxa"/>
            <w:gridSpan w:val="3"/>
            <w:tcBorders>
              <w:top w:val="nil"/>
              <w:left w:val="nil"/>
              <w:bottom w:val="nil"/>
              <w:right w:val="nil"/>
            </w:tcBorders>
            <w:shd w:val="clear" w:color="000000" w:fill="17375D"/>
            <w:noWrap/>
            <w:vAlign w:val="center"/>
            <w:hideMark/>
          </w:tcPr>
          <w:p w:rsidR="004336AE" w:rsidRPr="009F4D7F" w:rsidRDefault="004336AE" w:rsidP="009F4D7F">
            <w:pPr>
              <w:jc w:val="center"/>
              <w:rPr>
                <w:b/>
                <w:sz w:val="20"/>
                <w:szCs w:val="20"/>
                <w:lang w:eastAsia="cs-CZ"/>
              </w:rPr>
            </w:pPr>
            <w:r w:rsidRPr="009F4D7F">
              <w:rPr>
                <w:b/>
                <w:sz w:val="20"/>
                <w:szCs w:val="20"/>
                <w:lang w:eastAsia="cs-CZ"/>
              </w:rPr>
              <w:t>Dozorčí rada</w:t>
            </w:r>
          </w:p>
        </w:tc>
      </w:tr>
      <w:tr w:rsidR="004336AE" w:rsidRPr="009F4D7F" w:rsidTr="004405AF">
        <w:trPr>
          <w:trHeight w:hRule="exact" w:val="340"/>
          <w:jc w:val="center"/>
        </w:trPr>
        <w:tc>
          <w:tcPr>
            <w:tcW w:w="244" w:type="dxa"/>
            <w:vMerge w:val="restart"/>
            <w:tcBorders>
              <w:top w:val="nil"/>
              <w:left w:val="nil"/>
              <w:bottom w:val="nil"/>
              <w:right w:val="nil"/>
            </w:tcBorders>
            <w:shd w:val="clear" w:color="000000" w:fill="8DB4E3"/>
            <w:noWrap/>
            <w:vAlign w:val="center"/>
            <w:hideMark/>
          </w:tcPr>
          <w:p w:rsidR="004336AE" w:rsidRPr="009F4D7F" w:rsidRDefault="004336AE" w:rsidP="009F4D7F">
            <w:pPr>
              <w:rPr>
                <w:sz w:val="20"/>
                <w:szCs w:val="20"/>
                <w:lang w:eastAsia="cs-CZ"/>
              </w:rPr>
            </w:pPr>
            <w:r w:rsidRPr="009F4D7F">
              <w:rPr>
                <w:sz w:val="20"/>
                <w:szCs w:val="20"/>
                <w:lang w:eastAsia="cs-CZ"/>
              </w:rPr>
              <w:t>1</w:t>
            </w:r>
          </w:p>
        </w:tc>
        <w:tc>
          <w:tcPr>
            <w:tcW w:w="1419"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jméno:</w:t>
            </w:r>
          </w:p>
        </w:tc>
        <w:tc>
          <w:tcPr>
            <w:tcW w:w="4757"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MICHAL KUŘE, datum narození: 11.4.1974</w:t>
            </w:r>
          </w:p>
        </w:tc>
      </w:tr>
      <w:tr w:rsidR="004336AE" w:rsidRPr="009F4D7F" w:rsidTr="004405AF">
        <w:trPr>
          <w:trHeight w:hRule="exact" w:val="340"/>
          <w:jc w:val="center"/>
        </w:trPr>
        <w:tc>
          <w:tcPr>
            <w:tcW w:w="244" w:type="dxa"/>
            <w:vMerge/>
            <w:tcBorders>
              <w:top w:val="nil"/>
              <w:left w:val="nil"/>
              <w:bottom w:val="nil"/>
              <w:right w:val="nil"/>
            </w:tcBorders>
            <w:vAlign w:val="center"/>
            <w:hideMark/>
          </w:tcPr>
          <w:p w:rsidR="004336AE" w:rsidRPr="009F4D7F" w:rsidRDefault="004336AE" w:rsidP="009F4D7F">
            <w:pPr>
              <w:rPr>
                <w:sz w:val="20"/>
                <w:szCs w:val="20"/>
                <w:lang w:eastAsia="cs-CZ"/>
              </w:rPr>
            </w:pPr>
          </w:p>
        </w:tc>
        <w:tc>
          <w:tcPr>
            <w:tcW w:w="1419"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funkce:</w:t>
            </w:r>
          </w:p>
        </w:tc>
        <w:tc>
          <w:tcPr>
            <w:tcW w:w="4757"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předseda dozorčí rady</w:t>
            </w:r>
          </w:p>
        </w:tc>
      </w:tr>
      <w:tr w:rsidR="004336AE" w:rsidRPr="009F4D7F" w:rsidTr="004405AF">
        <w:trPr>
          <w:trHeight w:hRule="exact" w:val="340"/>
          <w:jc w:val="center"/>
        </w:trPr>
        <w:tc>
          <w:tcPr>
            <w:tcW w:w="244" w:type="dxa"/>
            <w:vMerge w:val="restart"/>
            <w:tcBorders>
              <w:top w:val="nil"/>
              <w:left w:val="nil"/>
              <w:bottom w:val="nil"/>
              <w:right w:val="nil"/>
            </w:tcBorders>
            <w:shd w:val="clear" w:color="000000" w:fill="DBE5F1"/>
            <w:noWrap/>
            <w:vAlign w:val="center"/>
            <w:hideMark/>
          </w:tcPr>
          <w:p w:rsidR="004336AE" w:rsidRPr="009F4D7F" w:rsidRDefault="004336AE" w:rsidP="009F4D7F">
            <w:pPr>
              <w:rPr>
                <w:sz w:val="20"/>
                <w:szCs w:val="20"/>
                <w:lang w:eastAsia="cs-CZ"/>
              </w:rPr>
            </w:pPr>
            <w:r w:rsidRPr="009F4D7F">
              <w:rPr>
                <w:sz w:val="20"/>
                <w:szCs w:val="20"/>
                <w:lang w:eastAsia="cs-CZ"/>
              </w:rPr>
              <w:t>2</w:t>
            </w:r>
          </w:p>
        </w:tc>
        <w:tc>
          <w:tcPr>
            <w:tcW w:w="1419" w:type="dxa"/>
            <w:tcBorders>
              <w:top w:val="nil"/>
              <w:left w:val="nil"/>
              <w:bottom w:val="nil"/>
              <w:right w:val="nil"/>
            </w:tcBorders>
            <w:shd w:val="clear" w:color="000000" w:fill="DBE5F1"/>
            <w:vAlign w:val="bottom"/>
            <w:hideMark/>
          </w:tcPr>
          <w:p w:rsidR="004336AE" w:rsidRPr="009F4D7F" w:rsidRDefault="004336AE" w:rsidP="009F4D7F">
            <w:pPr>
              <w:rPr>
                <w:sz w:val="20"/>
                <w:szCs w:val="20"/>
                <w:lang w:eastAsia="cs-CZ"/>
              </w:rPr>
            </w:pPr>
            <w:r w:rsidRPr="009F4D7F">
              <w:rPr>
                <w:sz w:val="20"/>
                <w:szCs w:val="20"/>
                <w:lang w:eastAsia="cs-CZ"/>
              </w:rPr>
              <w:t>jméno:</w:t>
            </w:r>
          </w:p>
        </w:tc>
        <w:tc>
          <w:tcPr>
            <w:tcW w:w="4757" w:type="dxa"/>
            <w:tcBorders>
              <w:top w:val="nil"/>
              <w:left w:val="nil"/>
              <w:bottom w:val="nil"/>
              <w:right w:val="nil"/>
            </w:tcBorders>
            <w:shd w:val="clear" w:color="000000" w:fill="DBE5F1"/>
            <w:vAlign w:val="bottom"/>
            <w:hideMark/>
          </w:tcPr>
          <w:p w:rsidR="004336AE" w:rsidRPr="009F4D7F" w:rsidRDefault="004336AE" w:rsidP="009F4D7F">
            <w:pPr>
              <w:rPr>
                <w:sz w:val="20"/>
                <w:szCs w:val="20"/>
                <w:lang w:eastAsia="cs-CZ"/>
              </w:rPr>
            </w:pPr>
            <w:r w:rsidRPr="009F4D7F">
              <w:rPr>
                <w:sz w:val="20"/>
                <w:szCs w:val="20"/>
                <w:lang w:eastAsia="cs-CZ"/>
              </w:rPr>
              <w:t>MICHAELA DUŠKOVÁ, datum narození: 28.4.1983</w:t>
            </w:r>
          </w:p>
        </w:tc>
      </w:tr>
      <w:tr w:rsidR="004336AE" w:rsidRPr="009F4D7F" w:rsidTr="004405AF">
        <w:trPr>
          <w:trHeight w:hRule="exact" w:val="340"/>
          <w:jc w:val="center"/>
        </w:trPr>
        <w:tc>
          <w:tcPr>
            <w:tcW w:w="244" w:type="dxa"/>
            <w:vMerge/>
            <w:tcBorders>
              <w:top w:val="nil"/>
              <w:left w:val="nil"/>
              <w:bottom w:val="nil"/>
              <w:right w:val="nil"/>
            </w:tcBorders>
            <w:vAlign w:val="center"/>
            <w:hideMark/>
          </w:tcPr>
          <w:p w:rsidR="004336AE" w:rsidRPr="009F4D7F" w:rsidRDefault="004336AE" w:rsidP="009F4D7F">
            <w:pPr>
              <w:rPr>
                <w:sz w:val="20"/>
                <w:szCs w:val="20"/>
                <w:lang w:eastAsia="cs-CZ"/>
              </w:rPr>
            </w:pPr>
          </w:p>
        </w:tc>
        <w:tc>
          <w:tcPr>
            <w:tcW w:w="1419" w:type="dxa"/>
            <w:tcBorders>
              <w:top w:val="nil"/>
              <w:left w:val="nil"/>
              <w:bottom w:val="nil"/>
              <w:right w:val="nil"/>
            </w:tcBorders>
            <w:shd w:val="clear" w:color="000000" w:fill="DBE5F1"/>
            <w:vAlign w:val="bottom"/>
            <w:hideMark/>
          </w:tcPr>
          <w:p w:rsidR="004336AE" w:rsidRPr="009F4D7F" w:rsidRDefault="004336AE" w:rsidP="009F4D7F">
            <w:pPr>
              <w:rPr>
                <w:sz w:val="20"/>
                <w:szCs w:val="20"/>
                <w:lang w:eastAsia="cs-CZ"/>
              </w:rPr>
            </w:pPr>
            <w:r w:rsidRPr="009F4D7F">
              <w:rPr>
                <w:sz w:val="20"/>
                <w:szCs w:val="20"/>
                <w:lang w:eastAsia="cs-CZ"/>
              </w:rPr>
              <w:t>funkce:</w:t>
            </w:r>
          </w:p>
        </w:tc>
        <w:tc>
          <w:tcPr>
            <w:tcW w:w="4757" w:type="dxa"/>
            <w:tcBorders>
              <w:top w:val="nil"/>
              <w:left w:val="nil"/>
              <w:bottom w:val="nil"/>
              <w:right w:val="nil"/>
            </w:tcBorders>
            <w:shd w:val="clear" w:color="000000" w:fill="DBE5F1"/>
            <w:vAlign w:val="bottom"/>
            <w:hideMark/>
          </w:tcPr>
          <w:p w:rsidR="004336AE" w:rsidRPr="009F4D7F" w:rsidRDefault="004336AE" w:rsidP="009F4D7F">
            <w:pPr>
              <w:rPr>
                <w:sz w:val="20"/>
                <w:szCs w:val="20"/>
                <w:lang w:eastAsia="cs-CZ"/>
              </w:rPr>
            </w:pPr>
            <w:r w:rsidRPr="009F4D7F">
              <w:rPr>
                <w:sz w:val="20"/>
                <w:szCs w:val="20"/>
                <w:lang w:eastAsia="cs-CZ"/>
              </w:rPr>
              <w:t>člen dozorčí rady</w:t>
            </w:r>
          </w:p>
        </w:tc>
      </w:tr>
      <w:tr w:rsidR="004336AE" w:rsidRPr="009F4D7F" w:rsidTr="004405AF">
        <w:trPr>
          <w:trHeight w:hRule="exact" w:val="340"/>
          <w:jc w:val="center"/>
        </w:trPr>
        <w:tc>
          <w:tcPr>
            <w:tcW w:w="244" w:type="dxa"/>
            <w:vMerge w:val="restart"/>
            <w:tcBorders>
              <w:top w:val="nil"/>
              <w:left w:val="nil"/>
              <w:bottom w:val="nil"/>
              <w:right w:val="nil"/>
            </w:tcBorders>
            <w:shd w:val="clear" w:color="000000" w:fill="8DB4E3"/>
            <w:noWrap/>
            <w:vAlign w:val="center"/>
            <w:hideMark/>
          </w:tcPr>
          <w:p w:rsidR="004336AE" w:rsidRPr="009F4D7F" w:rsidRDefault="004336AE" w:rsidP="009F4D7F">
            <w:pPr>
              <w:rPr>
                <w:sz w:val="20"/>
                <w:szCs w:val="20"/>
                <w:lang w:eastAsia="cs-CZ"/>
              </w:rPr>
            </w:pPr>
            <w:r w:rsidRPr="009F4D7F">
              <w:rPr>
                <w:sz w:val="20"/>
                <w:szCs w:val="20"/>
                <w:lang w:eastAsia="cs-CZ"/>
              </w:rPr>
              <w:t>3</w:t>
            </w:r>
          </w:p>
        </w:tc>
        <w:tc>
          <w:tcPr>
            <w:tcW w:w="1419"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jméno:</w:t>
            </w:r>
          </w:p>
        </w:tc>
        <w:tc>
          <w:tcPr>
            <w:tcW w:w="4757"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JOSEF ABRAHAM, datum narození: 6.12.1960</w:t>
            </w:r>
          </w:p>
        </w:tc>
      </w:tr>
      <w:tr w:rsidR="004336AE" w:rsidRPr="009F4D7F" w:rsidTr="004405AF">
        <w:trPr>
          <w:trHeight w:hRule="exact" w:val="340"/>
          <w:jc w:val="center"/>
        </w:trPr>
        <w:tc>
          <w:tcPr>
            <w:tcW w:w="244" w:type="dxa"/>
            <w:vMerge/>
            <w:tcBorders>
              <w:top w:val="nil"/>
              <w:left w:val="nil"/>
              <w:bottom w:val="nil"/>
              <w:right w:val="nil"/>
            </w:tcBorders>
            <w:vAlign w:val="center"/>
            <w:hideMark/>
          </w:tcPr>
          <w:p w:rsidR="004336AE" w:rsidRPr="009F4D7F" w:rsidRDefault="004336AE" w:rsidP="009F4D7F">
            <w:pPr>
              <w:rPr>
                <w:sz w:val="20"/>
                <w:szCs w:val="20"/>
                <w:lang w:eastAsia="cs-CZ"/>
              </w:rPr>
            </w:pPr>
          </w:p>
        </w:tc>
        <w:tc>
          <w:tcPr>
            <w:tcW w:w="1419"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funkce:</w:t>
            </w:r>
          </w:p>
        </w:tc>
        <w:tc>
          <w:tcPr>
            <w:tcW w:w="4757" w:type="dxa"/>
            <w:tcBorders>
              <w:top w:val="nil"/>
              <w:left w:val="nil"/>
              <w:bottom w:val="nil"/>
              <w:right w:val="nil"/>
            </w:tcBorders>
            <w:shd w:val="clear" w:color="000000" w:fill="8DB4E3"/>
            <w:vAlign w:val="bottom"/>
            <w:hideMark/>
          </w:tcPr>
          <w:p w:rsidR="004336AE" w:rsidRPr="009F4D7F" w:rsidRDefault="004336AE" w:rsidP="009F4D7F">
            <w:pPr>
              <w:rPr>
                <w:sz w:val="20"/>
                <w:szCs w:val="20"/>
                <w:lang w:eastAsia="cs-CZ"/>
              </w:rPr>
            </w:pPr>
            <w:r w:rsidRPr="009F4D7F">
              <w:rPr>
                <w:sz w:val="20"/>
                <w:szCs w:val="20"/>
                <w:lang w:eastAsia="cs-CZ"/>
              </w:rPr>
              <w:t>člen dozorčí rady</w:t>
            </w:r>
          </w:p>
        </w:tc>
      </w:tr>
    </w:tbl>
    <w:p w:rsidR="004336AE" w:rsidRDefault="00C1000B" w:rsidP="00C1000B">
      <w:pPr>
        <w:pStyle w:val="Nadpis4"/>
      </w:pPr>
      <w:r>
        <w:t>Organizační složky MAS Litomyšlsko o.p.s.</w:t>
      </w:r>
    </w:p>
    <w:p w:rsidR="00C1000B" w:rsidRDefault="00C1000B" w:rsidP="00C1000B">
      <w:r>
        <w:t xml:space="preserve">V rámci MAS </w:t>
      </w:r>
      <w:r w:rsidRPr="002608A3">
        <w:t>Litomyšls</w:t>
      </w:r>
      <w:r w:rsidR="006E6E9A" w:rsidRPr="002608A3">
        <w:t>ko o.p.s. (právnické osoby) je s</w:t>
      </w:r>
      <w:r w:rsidRPr="002608A3">
        <w:t xml:space="preserve">tatutem definována organizační složka MAS Litomyšlsko, která nemá právní subjektivitu. Její orgány jsou definovány v kapitole </w:t>
      </w:r>
      <w:r w:rsidR="007D3E54" w:rsidRPr="002608A3">
        <w:t>1.1.4</w:t>
      </w:r>
      <w:r w:rsidRPr="002608A3">
        <w:t xml:space="preserve"> Popis místního partnerství a jeho orgány.</w:t>
      </w:r>
    </w:p>
    <w:p w:rsidR="00B50E8D" w:rsidRDefault="00B50E8D" w:rsidP="009F4D7F">
      <w:pPr>
        <w:pStyle w:val="Nadpis3"/>
      </w:pPr>
      <w:bookmarkStart w:id="5" w:name="_Toc430006480"/>
      <w:r>
        <w:t>Popis místního partnerství a jeho orgány</w:t>
      </w:r>
      <w:bookmarkEnd w:id="5"/>
    </w:p>
    <w:p w:rsidR="00B50E8D" w:rsidRDefault="00C51693" w:rsidP="009F4D7F">
      <w:r>
        <w:t xml:space="preserve">Místní partnerství je v rámci MAS Litomyšlsko o.p.s. začleněno jako organizační složka bez právní </w:t>
      </w:r>
      <w:r w:rsidRPr="002608A3">
        <w:t>subjektivity. Dle podmínek kladených na MAS má</w:t>
      </w:r>
      <w:r w:rsidR="002261EA" w:rsidRPr="002608A3">
        <w:t xml:space="preserve"> definovaný </w:t>
      </w:r>
      <w:r w:rsidR="007D3E54" w:rsidRPr="002608A3">
        <w:t>Valnou hromadu (</w:t>
      </w:r>
      <w:r w:rsidR="002261EA" w:rsidRPr="002608A3">
        <w:t>n</w:t>
      </w:r>
      <w:r w:rsidRPr="002608A3">
        <w:t>e</w:t>
      </w:r>
      <w:r w:rsidR="002261EA" w:rsidRPr="002608A3">
        <w:t>jvyšší orgán</w:t>
      </w:r>
      <w:r w:rsidR="007D3E54" w:rsidRPr="002608A3">
        <w:t>)</w:t>
      </w:r>
      <w:r w:rsidR="002261EA" w:rsidRPr="002608A3">
        <w:t xml:space="preserve">, </w:t>
      </w:r>
      <w:r w:rsidR="007D3E54" w:rsidRPr="002608A3">
        <w:t>Správní radu (</w:t>
      </w:r>
      <w:r w:rsidR="002261EA" w:rsidRPr="002608A3">
        <w:t xml:space="preserve">rozhodovací orgán, </w:t>
      </w:r>
      <w:r w:rsidR="007D3E54" w:rsidRPr="002608A3">
        <w:t>Dozorčí radu (</w:t>
      </w:r>
      <w:r w:rsidR="002261EA" w:rsidRPr="002608A3">
        <w:t>k</w:t>
      </w:r>
      <w:r w:rsidRPr="002608A3">
        <w:t>ont</w:t>
      </w:r>
      <w:r w:rsidR="002261EA" w:rsidRPr="002608A3">
        <w:t>rolní orgán</w:t>
      </w:r>
      <w:r w:rsidR="007D3E54" w:rsidRPr="002608A3">
        <w:t>) a V</w:t>
      </w:r>
      <w:r w:rsidR="002261EA" w:rsidRPr="002608A3">
        <w:t>ýběrovou komisi</w:t>
      </w:r>
      <w:r w:rsidR="007D3E54" w:rsidRPr="002608A3">
        <w:t xml:space="preserve"> (výběrový orgán)</w:t>
      </w:r>
      <w:r w:rsidR="007E4A87" w:rsidRPr="002608A3">
        <w:rPr>
          <w:rStyle w:val="Znakapoznpodarou"/>
        </w:rPr>
        <w:footnoteReference w:id="5"/>
      </w:r>
      <w:r w:rsidR="002261EA" w:rsidRPr="002608A3">
        <w:t>.</w:t>
      </w:r>
      <w:r w:rsidR="007E4A87" w:rsidRPr="002608A3">
        <w:t xml:space="preserve"> Kompetence orgánů vycházejí ze standardizačních podmínek a podrobně jsou specifikovány ve </w:t>
      </w:r>
      <w:r w:rsidR="00860B4D" w:rsidRPr="002608A3">
        <w:t>statutem a interními dokumenty</w:t>
      </w:r>
      <w:r w:rsidR="007E4A87">
        <w:t xml:space="preserve"> MAS Litomyšlsko o.p.s (níže jsou uvedeny základní pravomoci a odpovědnosti).</w:t>
      </w:r>
      <w:r w:rsidR="004A6BC2">
        <w:rPr>
          <w:rStyle w:val="Znakapoznpodarou"/>
        </w:rPr>
        <w:footnoteReference w:id="6"/>
      </w:r>
    </w:p>
    <w:p w:rsidR="002261EA" w:rsidRDefault="002261EA" w:rsidP="00510795">
      <w:pPr>
        <w:pStyle w:val="Nadpis4"/>
      </w:pPr>
      <w:r>
        <w:lastRenderedPageBreak/>
        <w:t>Valná hromada MAS (nejvyšší orgán)</w:t>
      </w:r>
    </w:p>
    <w:p w:rsidR="0039679C" w:rsidRPr="00314F99" w:rsidRDefault="00860B4D" w:rsidP="0039679C">
      <w:r w:rsidRPr="00314F99">
        <w:t>Valná hromada MAS je</w:t>
      </w:r>
      <w:r w:rsidR="00EE2B1D" w:rsidRPr="00314F99">
        <w:t xml:space="preserve"> </w:t>
      </w:r>
      <w:r w:rsidR="0039679C" w:rsidRPr="00314F99">
        <w:t>tvořen</w:t>
      </w:r>
      <w:r w:rsidRPr="00314F99">
        <w:t>a</w:t>
      </w:r>
      <w:r w:rsidR="00EE2B1D" w:rsidRPr="00314F99">
        <w:t xml:space="preserve"> </w:t>
      </w:r>
      <w:r w:rsidR="0039679C" w:rsidRPr="00314F99">
        <w:t>všemi</w:t>
      </w:r>
      <w:r w:rsidR="00EE2B1D" w:rsidRPr="00314F99">
        <w:t xml:space="preserve"> </w:t>
      </w:r>
      <w:r w:rsidR="0039679C" w:rsidRPr="00314F99">
        <w:t>partnery</w:t>
      </w:r>
      <w:r w:rsidR="00EE2B1D" w:rsidRPr="00314F99">
        <w:t xml:space="preserve"> </w:t>
      </w:r>
      <w:r w:rsidR="0039679C" w:rsidRPr="00314F99">
        <w:t>MAS,</w:t>
      </w:r>
      <w:r w:rsidR="00EE2B1D" w:rsidRPr="00314F99">
        <w:t xml:space="preserve"> </w:t>
      </w:r>
      <w:r w:rsidR="0039679C" w:rsidRPr="00314F99">
        <w:t>přičemž</w:t>
      </w:r>
      <w:r w:rsidR="00EE2B1D" w:rsidRPr="00314F99">
        <w:t xml:space="preserve"> </w:t>
      </w:r>
      <w:r w:rsidR="0039679C" w:rsidRPr="00314F99">
        <w:t>veřejný</w:t>
      </w:r>
      <w:r w:rsidR="00EE2B1D" w:rsidRPr="00314F99">
        <w:t xml:space="preserve"> </w:t>
      </w:r>
      <w:r w:rsidR="0039679C" w:rsidRPr="00314F99">
        <w:t>sektor</w:t>
      </w:r>
      <w:r w:rsidR="00EE2B1D" w:rsidRPr="00314F99">
        <w:t xml:space="preserve"> </w:t>
      </w:r>
      <w:r w:rsidR="0039679C" w:rsidRPr="00314F99">
        <w:t>ani</w:t>
      </w:r>
      <w:r w:rsidR="00EE2B1D" w:rsidRPr="00314F99">
        <w:t xml:space="preserve"> </w:t>
      </w:r>
      <w:r w:rsidR="0039679C" w:rsidRPr="00314F99">
        <w:t>žádná</w:t>
      </w:r>
      <w:r w:rsidR="00EE2B1D" w:rsidRPr="00314F99">
        <w:t xml:space="preserve"> </w:t>
      </w:r>
      <w:r w:rsidR="0039679C" w:rsidRPr="00314F99">
        <w:t>ze zájmových skupin nepředstavuje více než 49 % hlasovacích práv.</w:t>
      </w:r>
      <w:r w:rsidR="00EE2B1D" w:rsidRPr="00314F99">
        <w:t xml:space="preserve"> </w:t>
      </w:r>
      <w:r w:rsidR="0039679C" w:rsidRPr="00314F99">
        <w:t>Pro</w:t>
      </w:r>
      <w:r w:rsidR="00EE2B1D" w:rsidRPr="00314F99">
        <w:t xml:space="preserve"> </w:t>
      </w:r>
      <w:r w:rsidR="0039679C" w:rsidRPr="00314F99">
        <w:t>přijetí</w:t>
      </w:r>
      <w:r w:rsidR="00EE2B1D" w:rsidRPr="00314F99">
        <w:t xml:space="preserve"> </w:t>
      </w:r>
      <w:r w:rsidR="0039679C" w:rsidRPr="00314F99">
        <w:t>rozhodnutí</w:t>
      </w:r>
      <w:r w:rsidR="00EE2B1D" w:rsidRPr="00314F99">
        <w:t xml:space="preserve"> </w:t>
      </w:r>
      <w:r w:rsidR="0039679C" w:rsidRPr="00314F99">
        <w:t>je</w:t>
      </w:r>
      <w:r w:rsidR="00EE2B1D" w:rsidRPr="00314F99">
        <w:t xml:space="preserve"> </w:t>
      </w:r>
      <w:r w:rsidR="0039679C" w:rsidRPr="00314F99">
        <w:t>třeba</w:t>
      </w:r>
      <w:r w:rsidR="00EE2B1D" w:rsidRPr="00314F99">
        <w:t xml:space="preserve"> </w:t>
      </w:r>
      <w:r w:rsidR="0039679C" w:rsidRPr="00314F99">
        <w:t>souhlasu</w:t>
      </w:r>
      <w:r w:rsidR="00EE2B1D" w:rsidRPr="00314F99">
        <w:t xml:space="preserve"> </w:t>
      </w:r>
      <w:r w:rsidR="0039679C" w:rsidRPr="00314F99">
        <w:t>většiny přítomných.</w:t>
      </w:r>
      <w:r w:rsidR="00EE2B1D" w:rsidRPr="00314F99">
        <w:t xml:space="preserve"> </w:t>
      </w:r>
    </w:p>
    <w:p w:rsidR="0039679C" w:rsidRPr="00314F99" w:rsidRDefault="0039679C" w:rsidP="0039679C">
      <w:r w:rsidRPr="00314F99">
        <w:t xml:space="preserve">Do jeho kompetence spadá zejména: </w:t>
      </w:r>
    </w:p>
    <w:p w:rsidR="00314F99" w:rsidRPr="00314F99" w:rsidRDefault="0039679C" w:rsidP="00A60AC9">
      <w:pPr>
        <w:pStyle w:val="Odstavecseseznamem"/>
        <w:numPr>
          <w:ilvl w:val="0"/>
          <w:numId w:val="9"/>
        </w:numPr>
      </w:pPr>
      <w:r w:rsidRPr="00314F99">
        <w:t>zodpovědnost</w:t>
      </w:r>
      <w:r w:rsidR="00EE2B1D" w:rsidRPr="00314F99">
        <w:t xml:space="preserve"> </w:t>
      </w:r>
      <w:r w:rsidRPr="00314F99">
        <w:t>za</w:t>
      </w:r>
      <w:r w:rsidR="00EE2B1D" w:rsidRPr="00314F99">
        <w:t xml:space="preserve"> </w:t>
      </w:r>
      <w:r w:rsidRPr="00314F99">
        <w:t>distribuci</w:t>
      </w:r>
      <w:r w:rsidR="00EE2B1D" w:rsidRPr="00314F99">
        <w:t xml:space="preserve"> </w:t>
      </w:r>
      <w:r w:rsidRPr="00314F99">
        <w:t>veřejných</w:t>
      </w:r>
      <w:r w:rsidR="00EE2B1D" w:rsidRPr="00314F99">
        <w:t xml:space="preserve"> </w:t>
      </w:r>
      <w:r w:rsidRPr="00314F99">
        <w:t>prostředků</w:t>
      </w:r>
      <w:r w:rsidR="00EE2B1D" w:rsidRPr="00314F99">
        <w:t xml:space="preserve"> </w:t>
      </w:r>
      <w:r w:rsidRPr="00314F99">
        <w:t>a</w:t>
      </w:r>
      <w:r w:rsidR="00EE2B1D" w:rsidRPr="00314F99">
        <w:t xml:space="preserve"> </w:t>
      </w:r>
      <w:r w:rsidRPr="00314F99">
        <w:t xml:space="preserve">provádění </w:t>
      </w:r>
      <w:r w:rsidR="00314F99" w:rsidRPr="00314F99">
        <w:t>SCLLD</w:t>
      </w:r>
      <w:r w:rsidR="00EA5F74">
        <w:t xml:space="preserve"> (strategie komunitně vedeného místního rozvoje)</w:t>
      </w:r>
      <w:r w:rsidR="00314F99" w:rsidRPr="00314F99">
        <w:t xml:space="preserve"> v území působnosti MAS - schvaluje SCLLD, schvaluje způsob hodnocení a výběru projektů, zejména výběrová kritéria pro výběr projektů, schvaluje rozpočet MAS (lze delegovat na jiný povinný orgán MAS, pokud je vymezeno ve statutu), </w:t>
      </w:r>
    </w:p>
    <w:p w:rsidR="0039679C" w:rsidRPr="00314F99" w:rsidRDefault="0039679C" w:rsidP="00A60AC9">
      <w:pPr>
        <w:pStyle w:val="Odstavecseseznamem"/>
        <w:numPr>
          <w:ilvl w:val="0"/>
          <w:numId w:val="9"/>
        </w:numPr>
      </w:pPr>
      <w:r w:rsidRPr="00314F99">
        <w:t xml:space="preserve">zřízení povinných orgánů: rozhodovací orgán, kontrolní orgán, výběrový orgán, </w:t>
      </w:r>
    </w:p>
    <w:p w:rsidR="0039679C" w:rsidRPr="00314F99" w:rsidRDefault="0039679C" w:rsidP="00A60AC9">
      <w:pPr>
        <w:pStyle w:val="Odstavecseseznamem"/>
        <w:numPr>
          <w:ilvl w:val="0"/>
          <w:numId w:val="9"/>
        </w:numPr>
      </w:pPr>
      <w:r w:rsidRPr="00314F99">
        <w:t>volba</w:t>
      </w:r>
      <w:r w:rsidR="00EE2B1D" w:rsidRPr="00314F99">
        <w:t xml:space="preserve"> </w:t>
      </w:r>
      <w:r w:rsidRPr="00314F99">
        <w:t>členů</w:t>
      </w:r>
      <w:r w:rsidR="00EE2B1D" w:rsidRPr="00314F99">
        <w:t xml:space="preserve"> </w:t>
      </w:r>
      <w:r w:rsidRPr="00314F99">
        <w:t>orgánů</w:t>
      </w:r>
      <w:r w:rsidR="00EE2B1D" w:rsidRPr="00314F99">
        <w:t xml:space="preserve"> </w:t>
      </w:r>
      <w:r w:rsidRPr="00314F99">
        <w:t>MAS</w:t>
      </w:r>
      <w:r w:rsidR="00EE2B1D" w:rsidRPr="00314F99">
        <w:t xml:space="preserve"> </w:t>
      </w:r>
      <w:r w:rsidRPr="00314F99">
        <w:t>-</w:t>
      </w:r>
      <w:r w:rsidR="00EE2B1D" w:rsidRPr="00314F99">
        <w:t xml:space="preserve"> </w:t>
      </w:r>
      <w:r w:rsidRPr="00314F99">
        <w:t>počet</w:t>
      </w:r>
      <w:r w:rsidR="00EE2B1D" w:rsidRPr="00314F99">
        <w:t xml:space="preserve"> </w:t>
      </w:r>
      <w:r w:rsidRPr="00314F99">
        <w:t>členů</w:t>
      </w:r>
      <w:r w:rsidR="00EE2B1D" w:rsidRPr="00314F99">
        <w:t xml:space="preserve"> </w:t>
      </w:r>
      <w:r w:rsidRPr="00314F99">
        <w:t>povinných</w:t>
      </w:r>
      <w:r w:rsidR="00EE2B1D" w:rsidRPr="00314F99">
        <w:t xml:space="preserve"> </w:t>
      </w:r>
      <w:r w:rsidRPr="00314F99">
        <w:t>orgánů,</w:t>
      </w:r>
      <w:r w:rsidR="00EE2B1D" w:rsidRPr="00314F99">
        <w:t xml:space="preserve"> </w:t>
      </w:r>
      <w:r w:rsidRPr="00314F99">
        <w:t>jejich působnosti</w:t>
      </w:r>
      <w:r w:rsidR="00EE2B1D" w:rsidRPr="00314F99">
        <w:t xml:space="preserve"> </w:t>
      </w:r>
      <w:r w:rsidRPr="00314F99">
        <w:t>a</w:t>
      </w:r>
      <w:r w:rsidR="00EE2B1D" w:rsidRPr="00314F99">
        <w:t xml:space="preserve"> </w:t>
      </w:r>
      <w:r w:rsidRPr="00314F99">
        <w:t>pravomoci,</w:t>
      </w:r>
      <w:r w:rsidR="00EE2B1D" w:rsidRPr="00314F99">
        <w:t xml:space="preserve"> </w:t>
      </w:r>
      <w:r w:rsidRPr="00314F99">
        <w:t>způsob</w:t>
      </w:r>
      <w:r w:rsidR="00EE2B1D" w:rsidRPr="00314F99">
        <w:t xml:space="preserve"> </w:t>
      </w:r>
      <w:r w:rsidRPr="00314F99">
        <w:t>jejich</w:t>
      </w:r>
      <w:r w:rsidR="00EE2B1D" w:rsidRPr="00314F99">
        <w:t xml:space="preserve"> </w:t>
      </w:r>
      <w:r w:rsidRPr="00314F99">
        <w:t>volby</w:t>
      </w:r>
      <w:r w:rsidR="00EE2B1D" w:rsidRPr="00314F99">
        <w:t xml:space="preserve"> </w:t>
      </w:r>
      <w:r w:rsidRPr="00314F99">
        <w:t>a</w:t>
      </w:r>
      <w:r w:rsidR="00EE2B1D" w:rsidRPr="00314F99">
        <w:t xml:space="preserve"> </w:t>
      </w:r>
      <w:r w:rsidRPr="00314F99">
        <w:t>odvolávání</w:t>
      </w:r>
      <w:r w:rsidR="00EE2B1D" w:rsidRPr="00314F99">
        <w:t xml:space="preserve"> </w:t>
      </w:r>
      <w:r w:rsidRPr="00314F99">
        <w:t>a</w:t>
      </w:r>
      <w:r w:rsidR="00EE2B1D" w:rsidRPr="00314F99">
        <w:t xml:space="preserve"> </w:t>
      </w:r>
      <w:r w:rsidRPr="00314F99">
        <w:t xml:space="preserve">způsob jednání, </w:t>
      </w:r>
    </w:p>
    <w:p w:rsidR="0039679C" w:rsidRPr="00314F99" w:rsidRDefault="00314F99" w:rsidP="00A60AC9">
      <w:pPr>
        <w:pStyle w:val="Odstavecseseznamem"/>
        <w:numPr>
          <w:ilvl w:val="0"/>
          <w:numId w:val="9"/>
        </w:numPr>
      </w:pPr>
      <w:r w:rsidRPr="00314F99">
        <w:t>rozhodování</w:t>
      </w:r>
      <w:r w:rsidR="0039679C" w:rsidRPr="00314F99">
        <w:t xml:space="preserve"> o přijetí nebo vyloučení partnera, </w:t>
      </w:r>
    </w:p>
    <w:p w:rsidR="0039679C" w:rsidRPr="00314F99" w:rsidRDefault="0039679C" w:rsidP="00A60AC9">
      <w:pPr>
        <w:pStyle w:val="Odstavecseseznamem"/>
        <w:numPr>
          <w:ilvl w:val="0"/>
          <w:numId w:val="9"/>
        </w:numPr>
      </w:pPr>
      <w:r w:rsidRPr="00314F99">
        <w:t xml:space="preserve">schvaluje výroční zprávu o činnosti a hospodaření MAS, </w:t>
      </w:r>
    </w:p>
    <w:p w:rsidR="00510795" w:rsidRPr="00314F99" w:rsidRDefault="0039679C" w:rsidP="00A60AC9">
      <w:pPr>
        <w:pStyle w:val="Odstavecseseznamem"/>
        <w:numPr>
          <w:ilvl w:val="0"/>
          <w:numId w:val="9"/>
        </w:numPr>
      </w:pPr>
      <w:r w:rsidRPr="00314F99">
        <w:t>rozhoduje o fúzi nebo zrušení MAS</w:t>
      </w:r>
      <w:r w:rsidR="00314F99" w:rsidRPr="00314F99">
        <w:t xml:space="preserve"> (partnerství)</w:t>
      </w:r>
      <w:r w:rsidRPr="00314F99">
        <w:t>.</w:t>
      </w:r>
    </w:p>
    <w:p w:rsidR="002261EA" w:rsidRDefault="002261EA" w:rsidP="00510795">
      <w:pPr>
        <w:pStyle w:val="Nadpis4"/>
      </w:pPr>
      <w:r>
        <w:t>Správní rada MAS (rozhodovací orgán)</w:t>
      </w:r>
    </w:p>
    <w:p w:rsidR="0039679C" w:rsidRPr="00314F99" w:rsidRDefault="0039679C" w:rsidP="00314F99">
      <w:r w:rsidRPr="00314F99">
        <w:t xml:space="preserve">Členové rozhodovacího orgánu musí být voleni z partnerů MAS, přičemž veřejný sektor ani žádná ze zájmových skupin nepředstavuje více než 49 </w:t>
      </w:r>
      <w:r w:rsidR="00314F99" w:rsidRPr="00314F99">
        <w:t xml:space="preserve">% hlasovacích práv. </w:t>
      </w:r>
      <w:r w:rsidRPr="00314F99">
        <w:t xml:space="preserve">Při rozhodování je hlasovací právo členů rozhodovacího orgánu rovné. </w:t>
      </w:r>
    </w:p>
    <w:p w:rsidR="0039679C" w:rsidRPr="00314F99" w:rsidRDefault="0039679C" w:rsidP="0039679C">
      <w:r w:rsidRPr="00314F99">
        <w:t xml:space="preserve">Do jeho kompetence spadá zejména: </w:t>
      </w:r>
    </w:p>
    <w:p w:rsidR="0039679C" w:rsidRPr="00314F99" w:rsidRDefault="0039679C" w:rsidP="00A60AC9">
      <w:pPr>
        <w:pStyle w:val="Odstavecseseznamem"/>
        <w:numPr>
          <w:ilvl w:val="0"/>
          <w:numId w:val="10"/>
        </w:numPr>
      </w:pPr>
      <w:r w:rsidRPr="00314F99">
        <w:t>schval</w:t>
      </w:r>
      <w:r w:rsidR="00314F99" w:rsidRPr="00314F99">
        <w:t>ování</w:t>
      </w:r>
      <w:r w:rsidR="00EE2B1D" w:rsidRPr="00314F99">
        <w:t xml:space="preserve"> </w:t>
      </w:r>
      <w:r w:rsidRPr="00314F99">
        <w:t>uzavření</w:t>
      </w:r>
      <w:r w:rsidR="00EE2B1D" w:rsidRPr="00314F99">
        <w:t xml:space="preserve"> </w:t>
      </w:r>
      <w:r w:rsidRPr="00314F99">
        <w:t>a</w:t>
      </w:r>
      <w:r w:rsidR="00EE2B1D" w:rsidRPr="00314F99">
        <w:t xml:space="preserve"> </w:t>
      </w:r>
      <w:r w:rsidRPr="00314F99">
        <w:t>ukončení</w:t>
      </w:r>
      <w:r w:rsidR="00EE2B1D" w:rsidRPr="00314F99">
        <w:t xml:space="preserve"> </w:t>
      </w:r>
      <w:r w:rsidRPr="00314F99">
        <w:t>pracovněprávního</w:t>
      </w:r>
      <w:r w:rsidR="00EE2B1D" w:rsidRPr="00314F99">
        <w:t xml:space="preserve"> </w:t>
      </w:r>
      <w:r w:rsidRPr="00314F99">
        <w:t>vztahu</w:t>
      </w:r>
      <w:r w:rsidR="00EE2B1D" w:rsidRPr="00314F99">
        <w:t xml:space="preserve"> </w:t>
      </w:r>
      <w:r w:rsidRPr="00314F99">
        <w:t>s</w:t>
      </w:r>
      <w:r w:rsidR="00EE2B1D" w:rsidRPr="00314F99">
        <w:t xml:space="preserve"> </w:t>
      </w:r>
      <w:r w:rsidRPr="00314F99">
        <w:t>vedoucím zaměstnancem pro realizaci SCLLD</w:t>
      </w:r>
      <w:r w:rsidR="00314F99" w:rsidRPr="00314F99">
        <w:t>,</w:t>
      </w:r>
    </w:p>
    <w:p w:rsidR="0039679C" w:rsidRPr="00314F99" w:rsidRDefault="0039679C" w:rsidP="00A60AC9">
      <w:pPr>
        <w:pStyle w:val="Odstavecseseznamem"/>
        <w:numPr>
          <w:ilvl w:val="0"/>
          <w:numId w:val="10"/>
        </w:numPr>
      </w:pPr>
      <w:r w:rsidRPr="00314F99">
        <w:t>schval</w:t>
      </w:r>
      <w:r w:rsidR="00314F99" w:rsidRPr="00314F99">
        <w:t>ování</w:t>
      </w:r>
      <w:r w:rsidRPr="00314F99">
        <w:t xml:space="preserve"> výzvy k podávání žádostí, </w:t>
      </w:r>
    </w:p>
    <w:p w:rsidR="0039679C" w:rsidRPr="00314F99" w:rsidRDefault="006E6E9A" w:rsidP="00A60AC9">
      <w:pPr>
        <w:pStyle w:val="Odstavecseseznamem"/>
        <w:numPr>
          <w:ilvl w:val="0"/>
          <w:numId w:val="10"/>
        </w:numPr>
      </w:pPr>
      <w:r>
        <w:t>vý</w:t>
      </w:r>
      <w:r w:rsidR="0039679C" w:rsidRPr="00314F99">
        <w:t>b</w:t>
      </w:r>
      <w:r w:rsidR="00314F99" w:rsidRPr="00314F99">
        <w:t>ěr</w:t>
      </w:r>
      <w:r w:rsidR="00EE2B1D" w:rsidRPr="00314F99">
        <w:t xml:space="preserve"> </w:t>
      </w:r>
      <w:r w:rsidR="0039679C" w:rsidRPr="00314F99">
        <w:t>projekty</w:t>
      </w:r>
      <w:r w:rsidR="00EE2B1D" w:rsidRPr="00314F99">
        <w:t xml:space="preserve"> </w:t>
      </w:r>
      <w:r w:rsidR="0039679C" w:rsidRPr="00314F99">
        <w:t>k realizaci</w:t>
      </w:r>
      <w:r w:rsidR="00EE2B1D" w:rsidRPr="00314F99">
        <w:t xml:space="preserve"> </w:t>
      </w:r>
      <w:r w:rsidR="0039679C" w:rsidRPr="00314F99">
        <w:t>a</w:t>
      </w:r>
      <w:r w:rsidR="00EE2B1D" w:rsidRPr="00314F99">
        <w:t xml:space="preserve"> </w:t>
      </w:r>
      <w:r w:rsidR="0039679C" w:rsidRPr="00314F99">
        <w:t>stanovuje</w:t>
      </w:r>
      <w:r w:rsidR="00EE2B1D" w:rsidRPr="00314F99">
        <w:t xml:space="preserve"> </w:t>
      </w:r>
      <w:r w:rsidR="0039679C" w:rsidRPr="00314F99">
        <w:t>výši</w:t>
      </w:r>
      <w:r w:rsidR="00EE2B1D" w:rsidRPr="00314F99">
        <w:t xml:space="preserve"> </w:t>
      </w:r>
      <w:r w:rsidR="0039679C" w:rsidRPr="00314F99">
        <w:t>alokace</w:t>
      </w:r>
      <w:r w:rsidR="00EE2B1D" w:rsidRPr="00314F99">
        <w:t xml:space="preserve"> </w:t>
      </w:r>
      <w:r w:rsidR="0039679C" w:rsidRPr="00314F99">
        <w:t>na</w:t>
      </w:r>
      <w:r w:rsidR="00EE2B1D" w:rsidRPr="00314F99">
        <w:t xml:space="preserve"> </w:t>
      </w:r>
      <w:r w:rsidR="0039679C" w:rsidRPr="00314F99">
        <w:t>projekty</w:t>
      </w:r>
      <w:r w:rsidR="00EE2B1D" w:rsidRPr="00314F99">
        <w:t xml:space="preserve"> </w:t>
      </w:r>
      <w:r w:rsidR="0039679C" w:rsidRPr="00314F99">
        <w:t xml:space="preserve">na základě návrhu výběrového orgánu, </w:t>
      </w:r>
    </w:p>
    <w:p w:rsidR="0039679C" w:rsidRPr="00314F99" w:rsidRDefault="0039679C" w:rsidP="00A60AC9">
      <w:pPr>
        <w:pStyle w:val="Odstavecseseznamem"/>
        <w:numPr>
          <w:ilvl w:val="0"/>
          <w:numId w:val="11"/>
        </w:numPr>
      </w:pPr>
      <w:r w:rsidRPr="00314F99">
        <w:lastRenderedPageBreak/>
        <w:t>svolává</w:t>
      </w:r>
      <w:r w:rsidR="00314F99" w:rsidRPr="00314F99">
        <w:t>ní</w:t>
      </w:r>
      <w:r w:rsidRPr="00314F99">
        <w:t xml:space="preserve"> nejvyšší orgán.</w:t>
      </w:r>
    </w:p>
    <w:p w:rsidR="002261EA" w:rsidRPr="007E4A87" w:rsidRDefault="002261EA" w:rsidP="00510795">
      <w:pPr>
        <w:pStyle w:val="Nadpis4"/>
        <w:rPr>
          <w:color w:val="auto"/>
        </w:rPr>
      </w:pPr>
      <w:r w:rsidRPr="007E4A87">
        <w:rPr>
          <w:color w:val="auto"/>
        </w:rPr>
        <w:t>Dozorčí rada MAS (kontrolní orgán)</w:t>
      </w:r>
    </w:p>
    <w:p w:rsidR="0039679C" w:rsidRPr="00E3201B" w:rsidRDefault="0039679C" w:rsidP="0039679C">
      <w:r w:rsidRPr="00E3201B">
        <w:t xml:space="preserve">Členové kontrolního orgánu musí být voleni z partnerů MAS. Při rozhodování je hlasovací právo členů kontrolního orgánu rovné. </w:t>
      </w:r>
    </w:p>
    <w:p w:rsidR="0039679C" w:rsidRPr="00E3201B" w:rsidRDefault="0039679C" w:rsidP="0039679C">
      <w:r w:rsidRPr="00E3201B">
        <w:t xml:space="preserve">Do jeho kompetence spadá zejména: </w:t>
      </w:r>
    </w:p>
    <w:p w:rsidR="0039679C" w:rsidRPr="00E3201B" w:rsidRDefault="0039679C" w:rsidP="00A60AC9">
      <w:pPr>
        <w:pStyle w:val="Odstavecseseznamem"/>
        <w:numPr>
          <w:ilvl w:val="0"/>
          <w:numId w:val="11"/>
        </w:numPr>
      </w:pPr>
      <w:r w:rsidRPr="00E3201B">
        <w:t xml:space="preserve">projednávání výroční zprávy o činnosti a hospodaření MAS, </w:t>
      </w:r>
    </w:p>
    <w:p w:rsidR="0039679C" w:rsidRPr="00E3201B" w:rsidRDefault="00314F99" w:rsidP="00A60AC9">
      <w:pPr>
        <w:pStyle w:val="Odstavecseseznamem"/>
        <w:numPr>
          <w:ilvl w:val="0"/>
          <w:numId w:val="11"/>
        </w:numPr>
      </w:pPr>
      <w:r w:rsidRPr="00E3201B">
        <w:t>dohled</w:t>
      </w:r>
      <w:r w:rsidR="00EE2B1D" w:rsidRPr="00E3201B">
        <w:t xml:space="preserve"> </w:t>
      </w:r>
      <w:r w:rsidR="0039679C" w:rsidRPr="00E3201B">
        <w:t>na</w:t>
      </w:r>
      <w:r w:rsidR="00EE2B1D" w:rsidRPr="00E3201B">
        <w:t xml:space="preserve"> </w:t>
      </w:r>
      <w:r w:rsidR="0039679C" w:rsidRPr="00E3201B">
        <w:t>to,</w:t>
      </w:r>
      <w:r w:rsidR="00EE2B1D" w:rsidRPr="00E3201B">
        <w:t xml:space="preserve"> </w:t>
      </w:r>
      <w:r w:rsidR="0039679C" w:rsidRPr="00E3201B">
        <w:t>že</w:t>
      </w:r>
      <w:r w:rsidR="00EE2B1D" w:rsidRPr="00E3201B">
        <w:t xml:space="preserve"> </w:t>
      </w:r>
      <w:r w:rsidR="0039679C" w:rsidRPr="00E3201B">
        <w:t>MAS</w:t>
      </w:r>
      <w:r w:rsidR="00EE2B1D" w:rsidRPr="00E3201B">
        <w:t xml:space="preserve"> </w:t>
      </w:r>
      <w:r w:rsidR="0039679C" w:rsidRPr="00E3201B">
        <w:t>vyvíjí</w:t>
      </w:r>
      <w:r w:rsidR="00EE2B1D" w:rsidRPr="00E3201B">
        <w:t xml:space="preserve"> </w:t>
      </w:r>
      <w:r w:rsidR="0039679C" w:rsidRPr="00E3201B">
        <w:t>činnost</w:t>
      </w:r>
      <w:r w:rsidR="00EE2B1D" w:rsidRPr="00E3201B">
        <w:t xml:space="preserve"> </w:t>
      </w:r>
      <w:r w:rsidR="0039679C" w:rsidRPr="00E3201B">
        <w:t>v souladu</w:t>
      </w:r>
      <w:r w:rsidR="00EE2B1D" w:rsidRPr="00E3201B">
        <w:t xml:space="preserve"> </w:t>
      </w:r>
      <w:r w:rsidR="0039679C" w:rsidRPr="00E3201B">
        <w:t>se</w:t>
      </w:r>
      <w:r w:rsidR="00EE2B1D" w:rsidRPr="00E3201B">
        <w:t xml:space="preserve"> </w:t>
      </w:r>
      <w:r w:rsidR="0039679C" w:rsidRPr="00E3201B">
        <w:t>zákony,</w:t>
      </w:r>
      <w:r w:rsidR="00EE2B1D" w:rsidRPr="00E3201B">
        <w:t xml:space="preserve"> </w:t>
      </w:r>
      <w:r w:rsidR="0039679C" w:rsidRPr="00E3201B">
        <w:t xml:space="preserve">platnými pravidly, standardy MAS a SCLLD, </w:t>
      </w:r>
    </w:p>
    <w:p w:rsidR="0039679C" w:rsidRPr="00E3201B" w:rsidRDefault="0039679C" w:rsidP="00A60AC9">
      <w:pPr>
        <w:pStyle w:val="Odstavecseseznamem"/>
        <w:numPr>
          <w:ilvl w:val="0"/>
          <w:numId w:val="11"/>
        </w:numPr>
      </w:pPr>
      <w:r w:rsidRPr="00E3201B">
        <w:t>nahlížení</w:t>
      </w:r>
      <w:r w:rsidR="00EE2B1D" w:rsidRPr="00E3201B">
        <w:t xml:space="preserve"> </w:t>
      </w:r>
      <w:r w:rsidRPr="00E3201B">
        <w:t>do</w:t>
      </w:r>
      <w:r w:rsidR="00EE2B1D" w:rsidRPr="00E3201B">
        <w:t xml:space="preserve"> </w:t>
      </w:r>
      <w:r w:rsidRPr="00E3201B">
        <w:t>účetních</w:t>
      </w:r>
      <w:r w:rsidR="00EE2B1D" w:rsidRPr="00E3201B">
        <w:t xml:space="preserve"> </w:t>
      </w:r>
      <w:r w:rsidRPr="00E3201B">
        <w:t>knih</w:t>
      </w:r>
      <w:r w:rsidR="00EE2B1D" w:rsidRPr="00E3201B">
        <w:t xml:space="preserve"> </w:t>
      </w:r>
      <w:r w:rsidRPr="00E3201B">
        <w:t>a</w:t>
      </w:r>
      <w:r w:rsidR="00EE2B1D" w:rsidRPr="00E3201B">
        <w:t xml:space="preserve"> </w:t>
      </w:r>
      <w:r w:rsidRPr="00E3201B">
        <w:t>jiných</w:t>
      </w:r>
      <w:r w:rsidR="00EE2B1D" w:rsidRPr="00E3201B">
        <w:t xml:space="preserve"> </w:t>
      </w:r>
      <w:r w:rsidRPr="00E3201B">
        <w:t>dokladů</w:t>
      </w:r>
      <w:r w:rsidR="00EE2B1D" w:rsidRPr="00E3201B">
        <w:t xml:space="preserve"> </w:t>
      </w:r>
      <w:r w:rsidRPr="00E3201B">
        <w:t>organizace</w:t>
      </w:r>
      <w:r w:rsidR="00EE2B1D" w:rsidRPr="00E3201B">
        <w:t xml:space="preserve"> </w:t>
      </w:r>
      <w:r w:rsidRPr="00E3201B">
        <w:t>týkající</w:t>
      </w:r>
      <w:r w:rsidR="00EE2B1D" w:rsidRPr="00E3201B">
        <w:t xml:space="preserve"> </w:t>
      </w:r>
      <w:r w:rsidRPr="00E3201B">
        <w:t xml:space="preserve">se </w:t>
      </w:r>
      <w:r w:rsidR="00E3201B" w:rsidRPr="00E3201B">
        <w:t>činnosti MAS a kontrola</w:t>
      </w:r>
      <w:r w:rsidRPr="00E3201B">
        <w:t xml:space="preserve"> tam obsažené údaje, </w:t>
      </w:r>
    </w:p>
    <w:p w:rsidR="0039679C" w:rsidRPr="00E3201B" w:rsidRDefault="00E3201B" w:rsidP="00A60AC9">
      <w:pPr>
        <w:pStyle w:val="Odstavecseseznamem"/>
        <w:numPr>
          <w:ilvl w:val="0"/>
          <w:numId w:val="11"/>
        </w:numPr>
      </w:pPr>
      <w:r w:rsidRPr="00E3201B">
        <w:t>svolávání</w:t>
      </w:r>
      <w:r w:rsidR="0039679C" w:rsidRPr="00E3201B">
        <w:t xml:space="preserve"> mimořádné jednání nejvyššího orgánu a rozhodovacího orgánu, jestliže to vyžadují zájmy MAS, </w:t>
      </w:r>
    </w:p>
    <w:p w:rsidR="0039679C" w:rsidRPr="00E3201B" w:rsidRDefault="0039679C" w:rsidP="00A60AC9">
      <w:pPr>
        <w:pStyle w:val="Odstavecseseznamem"/>
        <w:numPr>
          <w:ilvl w:val="0"/>
          <w:numId w:val="11"/>
        </w:numPr>
      </w:pPr>
      <w:r w:rsidRPr="00E3201B">
        <w:t>kontrol</w:t>
      </w:r>
      <w:r w:rsidR="00E3201B" w:rsidRPr="00E3201B">
        <w:t>a metodiky</w:t>
      </w:r>
      <w:r w:rsidRPr="00E3201B">
        <w:t xml:space="preserve"> způsobu výběru projektů MAS a její dodržování, včetně vyřizování odvolání žadatelů proti výběru MAS, </w:t>
      </w:r>
    </w:p>
    <w:p w:rsidR="0039679C" w:rsidRPr="00E3201B" w:rsidRDefault="0039679C" w:rsidP="00A60AC9">
      <w:pPr>
        <w:pStyle w:val="Odstavecseseznamem"/>
        <w:numPr>
          <w:ilvl w:val="0"/>
          <w:numId w:val="11"/>
        </w:numPr>
      </w:pPr>
      <w:r w:rsidRPr="00E3201B">
        <w:t>zodpov</w:t>
      </w:r>
      <w:r w:rsidR="00E3201B" w:rsidRPr="00E3201B">
        <w:t>ědnost</w:t>
      </w:r>
      <w:r w:rsidRPr="00E3201B">
        <w:t xml:space="preserve"> za monitoring</w:t>
      </w:r>
      <w:r w:rsidR="00EE2B1D" w:rsidRPr="00E3201B">
        <w:t xml:space="preserve"> </w:t>
      </w:r>
      <w:r w:rsidRPr="00E3201B">
        <w:t>a hodnocení SCLLD (zpracovává a předkládá ke</w:t>
      </w:r>
      <w:r w:rsidR="00EE2B1D" w:rsidRPr="00E3201B">
        <w:t xml:space="preserve"> </w:t>
      </w:r>
      <w:r w:rsidRPr="00E3201B">
        <w:t>schválení</w:t>
      </w:r>
      <w:r w:rsidR="00EE2B1D" w:rsidRPr="00E3201B">
        <w:t xml:space="preserve"> </w:t>
      </w:r>
      <w:r w:rsidRPr="00E3201B">
        <w:t>rozhodovacímu</w:t>
      </w:r>
      <w:r w:rsidR="00EE2B1D" w:rsidRPr="00E3201B">
        <w:t xml:space="preserve"> </w:t>
      </w:r>
      <w:r w:rsidRPr="00E3201B">
        <w:t>orgánu</w:t>
      </w:r>
      <w:r w:rsidR="00EE2B1D" w:rsidRPr="00E3201B">
        <w:t xml:space="preserve"> </w:t>
      </w:r>
      <w:r w:rsidRPr="00E3201B">
        <w:t>indikátorový</w:t>
      </w:r>
      <w:r w:rsidR="00EE2B1D" w:rsidRPr="00E3201B">
        <w:t xml:space="preserve"> </w:t>
      </w:r>
      <w:r w:rsidRPr="00E3201B">
        <w:t>a</w:t>
      </w:r>
      <w:r w:rsidR="00EE2B1D" w:rsidRPr="00E3201B">
        <w:t xml:space="preserve"> </w:t>
      </w:r>
      <w:r w:rsidRPr="00E3201B">
        <w:t>evaluační</w:t>
      </w:r>
      <w:r w:rsidR="00EE2B1D" w:rsidRPr="00E3201B">
        <w:t xml:space="preserve"> </w:t>
      </w:r>
      <w:r w:rsidRPr="00E3201B">
        <w:t>plán SCLLD).</w:t>
      </w:r>
    </w:p>
    <w:p w:rsidR="002261EA" w:rsidRDefault="002261EA" w:rsidP="00510795">
      <w:pPr>
        <w:pStyle w:val="Nadpis4"/>
      </w:pPr>
      <w:r>
        <w:t>Výběrová komise MAS (</w:t>
      </w:r>
      <w:r w:rsidR="00510795">
        <w:t>výběrový orgán</w:t>
      </w:r>
      <w:r>
        <w:t>)</w:t>
      </w:r>
    </w:p>
    <w:p w:rsidR="0039679C" w:rsidRPr="00E3201B" w:rsidRDefault="0039679C" w:rsidP="0039679C">
      <w:r w:rsidRPr="00E3201B">
        <w:t>Členové výběrového orgánu musí být voleni ze subjektů, které na území MAS</w:t>
      </w:r>
      <w:r w:rsidR="00EE2B1D" w:rsidRPr="00E3201B">
        <w:t xml:space="preserve"> </w:t>
      </w:r>
      <w:r w:rsidRPr="00E3201B">
        <w:t>prokazatelně</w:t>
      </w:r>
      <w:r w:rsidR="00EE2B1D" w:rsidRPr="00E3201B">
        <w:t xml:space="preserve"> </w:t>
      </w:r>
      <w:r w:rsidRPr="00E3201B">
        <w:t>místně</w:t>
      </w:r>
      <w:r w:rsidR="00EE2B1D" w:rsidRPr="00E3201B">
        <w:t xml:space="preserve"> </w:t>
      </w:r>
      <w:r w:rsidRPr="00E3201B">
        <w:t>působí.</w:t>
      </w:r>
      <w:r w:rsidR="00EE2B1D" w:rsidRPr="00E3201B">
        <w:t xml:space="preserve"> </w:t>
      </w:r>
      <w:r w:rsidRPr="00E3201B">
        <w:t>Dobu mandátu členů určuje nejvyšší orgán na dobu max. jednoho roku, opakované zvolení je možné. Při rozhodování je hlasovací právo členů výběrového orgánu rovné. Veřejný sektor ani žádná ze zájmových skupin nepředstavuje více než 49 % hlasovacích práv.</w:t>
      </w:r>
      <w:r w:rsidR="00EE2B1D" w:rsidRPr="00E3201B">
        <w:t xml:space="preserve"> </w:t>
      </w:r>
    </w:p>
    <w:p w:rsidR="00510795" w:rsidRPr="007E4A87" w:rsidRDefault="0039679C" w:rsidP="00E3201B">
      <w:r w:rsidRPr="00E3201B">
        <w:t>Do jeho kompetence spadá zejména</w:t>
      </w:r>
      <w:r w:rsidR="00E3201B" w:rsidRPr="00E3201B">
        <w:t xml:space="preserve"> </w:t>
      </w:r>
      <w:r w:rsidR="006E6E9A">
        <w:t xml:space="preserve">prvotní </w:t>
      </w:r>
      <w:r w:rsidRPr="00E3201B">
        <w:t>výběr</w:t>
      </w:r>
      <w:r w:rsidR="00EE2B1D" w:rsidRPr="00E3201B">
        <w:t xml:space="preserve"> </w:t>
      </w:r>
      <w:r w:rsidRPr="00E3201B">
        <w:t>projektů</w:t>
      </w:r>
      <w:r w:rsidR="00EE2B1D" w:rsidRPr="00E3201B">
        <w:t xml:space="preserve"> </w:t>
      </w:r>
      <w:r w:rsidRPr="00E3201B">
        <w:t>na</w:t>
      </w:r>
      <w:r w:rsidR="00EE2B1D" w:rsidRPr="00E3201B">
        <w:t xml:space="preserve"> </w:t>
      </w:r>
      <w:r w:rsidRPr="00E3201B">
        <w:t>základě</w:t>
      </w:r>
      <w:r w:rsidR="00EE2B1D" w:rsidRPr="00E3201B">
        <w:t xml:space="preserve"> </w:t>
      </w:r>
      <w:r w:rsidRPr="00E3201B">
        <w:t>objektivních</w:t>
      </w:r>
      <w:r w:rsidR="00EE2B1D" w:rsidRPr="00E3201B">
        <w:t xml:space="preserve"> </w:t>
      </w:r>
      <w:r w:rsidRPr="00E3201B">
        <w:t>kritérií</w:t>
      </w:r>
      <w:r w:rsidR="00EE2B1D" w:rsidRPr="00E3201B">
        <w:t xml:space="preserve"> </w:t>
      </w:r>
      <w:r w:rsidR="00E3201B" w:rsidRPr="00E3201B">
        <w:t>(</w:t>
      </w:r>
      <w:r w:rsidRPr="00E3201B">
        <w:t>navrhuje</w:t>
      </w:r>
      <w:r w:rsidR="00EE2B1D" w:rsidRPr="00E3201B">
        <w:t xml:space="preserve"> </w:t>
      </w:r>
      <w:r w:rsidRPr="00E3201B">
        <w:t>jejich pořadí podle přínosu těchto operací k plnění záměrů a cílů SCLLD</w:t>
      </w:r>
      <w:r w:rsidR="00E3201B" w:rsidRPr="00E3201B">
        <w:t>)</w:t>
      </w:r>
      <w:r w:rsidRPr="00E3201B">
        <w:t>.</w:t>
      </w:r>
    </w:p>
    <w:p w:rsidR="001E0270" w:rsidRDefault="001E0270" w:rsidP="001E0270">
      <w:pPr>
        <w:pStyle w:val="Nadpis4"/>
      </w:pPr>
      <w:r>
        <w:lastRenderedPageBreak/>
        <w:t>Zájmové skupiny</w:t>
      </w:r>
    </w:p>
    <w:p w:rsidR="001E0270" w:rsidRDefault="001E0270" w:rsidP="001E0270">
      <w:r>
        <w:t>Během působení MAS Litomyšlsko o.p.s. v regionu a během přípravy této strategie se vyvinulo několik hlavních zájmových skupin zapojených nějakou formou do komunitního rozvoje regionu.</w:t>
      </w:r>
    </w:p>
    <w:p w:rsidR="00F83CD2" w:rsidRPr="006852B0" w:rsidRDefault="00F83CD2" w:rsidP="00F83CD2">
      <w:bookmarkStart w:id="6" w:name="OLE_LINK1"/>
      <w:r>
        <w:t>Níže uvedená tabulka znázorňuje zainteresovanost jednotlivých zájmových skupin v oblastech řešených SCLLD.</w:t>
      </w:r>
    </w:p>
    <w:tbl>
      <w:tblPr>
        <w:tblW w:w="10193" w:type="dxa"/>
        <w:tblInd w:w="-1064" w:type="dxa"/>
        <w:tblCellMar>
          <w:left w:w="70" w:type="dxa"/>
          <w:right w:w="70" w:type="dxa"/>
        </w:tblCellMar>
        <w:tblLook w:val="04A0"/>
      </w:tblPr>
      <w:tblGrid>
        <w:gridCol w:w="2800"/>
        <w:gridCol w:w="1000"/>
        <w:gridCol w:w="960"/>
        <w:gridCol w:w="604"/>
        <w:gridCol w:w="784"/>
        <w:gridCol w:w="681"/>
        <w:gridCol w:w="1080"/>
        <w:gridCol w:w="823"/>
        <w:gridCol w:w="980"/>
        <w:gridCol w:w="481"/>
      </w:tblGrid>
      <w:tr w:rsidR="00FE197A" w:rsidRPr="00FE197A" w:rsidTr="00FE197A">
        <w:trPr>
          <w:trHeight w:val="300"/>
        </w:trPr>
        <w:tc>
          <w:tcPr>
            <w:tcW w:w="2800" w:type="dxa"/>
            <w:tcBorders>
              <w:top w:val="nil"/>
              <w:left w:val="nil"/>
              <w:bottom w:val="nil"/>
              <w:right w:val="nil"/>
            </w:tcBorders>
            <w:shd w:val="clear" w:color="auto" w:fill="auto"/>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p>
        </w:tc>
        <w:tc>
          <w:tcPr>
            <w:tcW w:w="7393" w:type="dxa"/>
            <w:gridSpan w:val="9"/>
            <w:tcBorders>
              <w:top w:val="nil"/>
              <w:left w:val="nil"/>
              <w:bottom w:val="nil"/>
              <w:right w:val="nil"/>
            </w:tcBorders>
            <w:shd w:val="clear" w:color="000000" w:fill="17375D"/>
            <w:noWrap/>
            <w:vAlign w:val="bottom"/>
            <w:hideMark/>
          </w:tcPr>
          <w:p w:rsidR="00FE197A" w:rsidRPr="00FE197A" w:rsidRDefault="00FE197A" w:rsidP="00FE197A">
            <w:pPr>
              <w:suppressAutoHyphens w:val="0"/>
              <w:spacing w:after="0"/>
              <w:jc w:val="center"/>
              <w:rPr>
                <w:rFonts w:ascii="Calibri" w:hAnsi="Calibri" w:cs="Calibri"/>
                <w:b/>
                <w:bCs/>
                <w:color w:val="FFFFFF"/>
                <w:sz w:val="16"/>
                <w:szCs w:val="16"/>
                <w:lang w:eastAsia="cs-CZ"/>
              </w:rPr>
            </w:pPr>
            <w:r w:rsidRPr="00FE197A">
              <w:rPr>
                <w:rFonts w:ascii="Calibri" w:hAnsi="Calibri" w:cs="Calibri"/>
                <w:b/>
                <w:bCs/>
                <w:color w:val="FFFFFF"/>
                <w:sz w:val="16"/>
                <w:szCs w:val="16"/>
                <w:lang w:eastAsia="cs-CZ"/>
              </w:rPr>
              <w:t>Zájmové skupiny</w:t>
            </w:r>
          </w:p>
        </w:tc>
      </w:tr>
      <w:tr w:rsidR="00FE197A" w:rsidRPr="00FE197A" w:rsidTr="00FE197A">
        <w:trPr>
          <w:trHeight w:val="900"/>
        </w:trPr>
        <w:tc>
          <w:tcPr>
            <w:tcW w:w="2800" w:type="dxa"/>
            <w:tcBorders>
              <w:top w:val="nil"/>
              <w:left w:val="nil"/>
              <w:bottom w:val="nil"/>
              <w:right w:val="nil"/>
            </w:tcBorders>
            <w:shd w:val="clear" w:color="auto" w:fill="auto"/>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p>
        </w:tc>
        <w:tc>
          <w:tcPr>
            <w:tcW w:w="1000"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obyvatelstvo</w:t>
            </w:r>
          </w:p>
        </w:tc>
        <w:tc>
          <w:tcPr>
            <w:tcW w:w="960"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samospráva</w:t>
            </w:r>
          </w:p>
        </w:tc>
        <w:tc>
          <w:tcPr>
            <w:tcW w:w="604"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kultura a život v obci</w:t>
            </w:r>
          </w:p>
        </w:tc>
        <w:tc>
          <w:tcPr>
            <w:tcW w:w="784"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podnikání</w:t>
            </w:r>
          </w:p>
        </w:tc>
        <w:tc>
          <w:tcPr>
            <w:tcW w:w="681"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cestovní ruch</w:t>
            </w:r>
          </w:p>
        </w:tc>
        <w:tc>
          <w:tcPr>
            <w:tcW w:w="1080"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zemědělství a potravinářství</w:t>
            </w:r>
          </w:p>
        </w:tc>
        <w:tc>
          <w:tcPr>
            <w:tcW w:w="823"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vzdělávání</w:t>
            </w:r>
          </w:p>
        </w:tc>
        <w:tc>
          <w:tcPr>
            <w:tcW w:w="980"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sociální a zdravotnické služby</w:t>
            </w:r>
          </w:p>
        </w:tc>
        <w:tc>
          <w:tcPr>
            <w:tcW w:w="481" w:type="dxa"/>
            <w:tcBorders>
              <w:top w:val="nil"/>
              <w:left w:val="nil"/>
              <w:bottom w:val="nil"/>
              <w:right w:val="nil"/>
            </w:tcBorders>
            <w:shd w:val="clear" w:color="000000" w:fill="8DB4E3"/>
            <w:vAlign w:val="center"/>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sport</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Obyvatelstvo</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Technická infrastruktura</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Doprava</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Vybavenost obcí a služby</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Bydlení</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Život v obcích</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Podnikání, výroba, zaměstnanost</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Vzdělávání a školství</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Řízení obcí, informovanost, spolupráce</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Bezpečnost</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784"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108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823"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8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4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Zemědělství, potravinářství a lesnictví</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108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r w:rsidR="00FE197A" w:rsidRPr="00FE197A" w:rsidTr="00FE197A">
        <w:trPr>
          <w:trHeight w:val="300"/>
        </w:trPr>
        <w:tc>
          <w:tcPr>
            <w:tcW w:w="2800" w:type="dxa"/>
            <w:tcBorders>
              <w:top w:val="nil"/>
              <w:left w:val="nil"/>
              <w:bottom w:val="nil"/>
              <w:right w:val="nil"/>
            </w:tcBorders>
            <w:shd w:val="clear" w:color="000000" w:fill="8DB4E3"/>
            <w:noWrap/>
            <w:vAlign w:val="bottom"/>
            <w:hideMark/>
          </w:tcPr>
          <w:p w:rsidR="00FE197A" w:rsidRPr="00FE197A" w:rsidRDefault="00FE197A" w:rsidP="00FE197A">
            <w:pPr>
              <w:suppressAutoHyphens w:val="0"/>
              <w:spacing w:after="0"/>
              <w:jc w:val="left"/>
              <w:rPr>
                <w:rFonts w:ascii="Calibri" w:hAnsi="Calibri" w:cs="Calibri"/>
                <w:color w:val="000000"/>
                <w:sz w:val="16"/>
                <w:szCs w:val="16"/>
                <w:lang w:eastAsia="cs-CZ"/>
              </w:rPr>
            </w:pPr>
            <w:r w:rsidRPr="00FE197A">
              <w:rPr>
                <w:rFonts w:ascii="Calibri" w:hAnsi="Calibri" w:cs="Calibri"/>
                <w:color w:val="000000"/>
                <w:sz w:val="16"/>
                <w:szCs w:val="16"/>
                <w:lang w:eastAsia="cs-CZ"/>
              </w:rPr>
              <w:t>Turistický ruch</w:t>
            </w:r>
          </w:p>
        </w:tc>
        <w:tc>
          <w:tcPr>
            <w:tcW w:w="100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960"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60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784"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681" w:type="dxa"/>
            <w:tcBorders>
              <w:top w:val="nil"/>
              <w:left w:val="nil"/>
              <w:bottom w:val="nil"/>
              <w:right w:val="nil"/>
            </w:tcBorders>
            <w:shd w:val="clear" w:color="000000" w:fill="C6EFCE"/>
            <w:noWrap/>
            <w:vAlign w:val="bottom"/>
            <w:hideMark/>
          </w:tcPr>
          <w:p w:rsidR="00FE197A" w:rsidRPr="00FE197A" w:rsidRDefault="00FE197A" w:rsidP="00FE197A">
            <w:pPr>
              <w:suppressAutoHyphens w:val="0"/>
              <w:spacing w:after="0"/>
              <w:jc w:val="center"/>
              <w:rPr>
                <w:rFonts w:ascii="Calibri" w:hAnsi="Calibri" w:cs="Calibri"/>
                <w:color w:val="006100"/>
                <w:sz w:val="16"/>
                <w:szCs w:val="16"/>
                <w:lang w:eastAsia="cs-CZ"/>
              </w:rPr>
            </w:pPr>
            <w:r w:rsidRPr="00FE197A">
              <w:rPr>
                <w:rFonts w:ascii="Calibri" w:hAnsi="Calibri" w:cs="Calibri"/>
                <w:color w:val="006100"/>
                <w:sz w:val="16"/>
                <w:szCs w:val="16"/>
                <w:lang w:eastAsia="cs-CZ"/>
              </w:rPr>
              <w:t>x</w:t>
            </w:r>
          </w:p>
        </w:tc>
        <w:tc>
          <w:tcPr>
            <w:tcW w:w="10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823"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980"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c>
          <w:tcPr>
            <w:tcW w:w="481" w:type="dxa"/>
            <w:tcBorders>
              <w:top w:val="nil"/>
              <w:left w:val="nil"/>
              <w:bottom w:val="nil"/>
              <w:right w:val="nil"/>
            </w:tcBorders>
            <w:shd w:val="clear" w:color="000000" w:fill="DBE5F1"/>
            <w:noWrap/>
            <w:vAlign w:val="bottom"/>
            <w:hideMark/>
          </w:tcPr>
          <w:p w:rsidR="00FE197A" w:rsidRPr="00FE197A" w:rsidRDefault="00FE197A" w:rsidP="00FE197A">
            <w:pPr>
              <w:suppressAutoHyphens w:val="0"/>
              <w:spacing w:after="0"/>
              <w:jc w:val="center"/>
              <w:rPr>
                <w:rFonts w:ascii="Calibri" w:hAnsi="Calibri" w:cs="Calibri"/>
                <w:color w:val="000000"/>
                <w:sz w:val="16"/>
                <w:szCs w:val="16"/>
                <w:lang w:eastAsia="cs-CZ"/>
              </w:rPr>
            </w:pPr>
            <w:r w:rsidRPr="00FE197A">
              <w:rPr>
                <w:rFonts w:ascii="Calibri" w:hAnsi="Calibri" w:cs="Calibri"/>
                <w:color w:val="000000"/>
                <w:sz w:val="16"/>
                <w:szCs w:val="16"/>
                <w:lang w:eastAsia="cs-CZ"/>
              </w:rPr>
              <w:t> </w:t>
            </w:r>
          </w:p>
        </w:tc>
      </w:tr>
    </w:tbl>
    <w:p w:rsidR="006852B0" w:rsidRPr="001E0270" w:rsidRDefault="006852B0" w:rsidP="006852B0"/>
    <w:p w:rsidR="00B50E8D" w:rsidRDefault="00B50E8D" w:rsidP="009F4D7F">
      <w:pPr>
        <w:pStyle w:val="Nadpis2"/>
      </w:pPr>
      <w:bookmarkStart w:id="7" w:name="_Toc430006481"/>
      <w:bookmarkEnd w:id="6"/>
      <w:r>
        <w:t>Historie MAS, zkušenosti s rozvojem území</w:t>
      </w:r>
      <w:bookmarkEnd w:id="7"/>
    </w:p>
    <w:p w:rsidR="00A43313" w:rsidRPr="003B46E3" w:rsidRDefault="003B46E3" w:rsidP="003B46E3">
      <w:pPr>
        <w:pStyle w:val="Nadpis3"/>
        <w:rPr>
          <w:rFonts w:eastAsia="SymbolMT"/>
        </w:rPr>
      </w:pPr>
      <w:bookmarkStart w:id="8" w:name="_Toc430006482"/>
      <w:r w:rsidRPr="003B46E3">
        <w:rPr>
          <w:rFonts w:eastAsia="SymbolMT"/>
        </w:rPr>
        <w:t>Historie a zkušenosti komunity před vznikem MAS Litomyšlsko o.p.s.</w:t>
      </w:r>
      <w:bookmarkEnd w:id="8"/>
    </w:p>
    <w:p w:rsidR="00A43313" w:rsidRPr="00A43313" w:rsidRDefault="00A43313" w:rsidP="00197D6D">
      <w:pPr>
        <w:autoSpaceDE w:val="0"/>
        <w:rPr>
          <w:rFonts w:eastAsia="TimesNewRomanPSMT" w:cs="TimesNewRomanPSMT"/>
          <w:highlight w:val="yellow"/>
        </w:rPr>
      </w:pPr>
      <w:r w:rsidRPr="00197D6D">
        <w:rPr>
          <w:rFonts w:eastAsia="TimesNewRomanPSMT" w:cs="TimesNewRomanPSMT"/>
        </w:rPr>
        <w:t>Přestože MAS Litomyšlsko oficiálně vznikla v lednu 2007</w:t>
      </w:r>
      <w:r w:rsidR="0067726A">
        <w:rPr>
          <w:rFonts w:eastAsia="TimesNewRomanPSMT" w:cs="TimesNewRomanPSMT"/>
        </w:rPr>
        <w:t>,</w:t>
      </w:r>
      <w:r w:rsidRPr="00197D6D">
        <w:rPr>
          <w:rFonts w:eastAsia="TimesNewRomanPSMT" w:cs="TimesNewRomanPSMT"/>
        </w:rPr>
        <w:t xml:space="preserve"> již dříve zde fungovala a dodnes funguje spolupráce</w:t>
      </w:r>
      <w:r w:rsidR="003B46E3" w:rsidRPr="00197D6D">
        <w:rPr>
          <w:rFonts w:eastAsia="TimesNewRomanPSMT" w:cs="TimesNewRomanPSMT"/>
        </w:rPr>
        <w:t xml:space="preserve"> nejen mezi jednotlivými obcemi</w:t>
      </w:r>
      <w:r w:rsidRPr="00197D6D">
        <w:rPr>
          <w:rFonts w:eastAsia="TimesNewRomanPSMT" w:cs="TimesNewRomanPSMT"/>
        </w:rPr>
        <w:t xml:space="preserve"> a svazky obcí</w:t>
      </w:r>
      <w:r w:rsidR="00197D6D" w:rsidRPr="00197D6D">
        <w:rPr>
          <w:rFonts w:eastAsia="TimesNewRomanPSMT" w:cs="TimesNewRomanPSMT"/>
        </w:rPr>
        <w:t>, obyvateli a dalšími subjekty z regionu (podnikatelskými, neziskovými informacemi, apod.).</w:t>
      </w:r>
      <w:r w:rsidRPr="00197D6D">
        <w:rPr>
          <w:rFonts w:eastAsia="TimesNewRomanPSMT" w:cs="TimesNewRomanPSMT"/>
        </w:rPr>
        <w:t xml:space="preserve"> Spolupráce me</w:t>
      </w:r>
      <w:r w:rsidR="00197D6D" w:rsidRPr="00197D6D">
        <w:rPr>
          <w:rFonts w:eastAsia="TimesNewRomanPSMT" w:cs="TimesNewRomanPSMT"/>
        </w:rPr>
        <w:t xml:space="preserve">zi těmito subjekty má dlouhodobé přirozené </w:t>
      </w:r>
      <w:r w:rsidRPr="00197D6D">
        <w:rPr>
          <w:rFonts w:eastAsia="TimesNewRomanPSMT" w:cs="TimesNewRomanPSMT"/>
        </w:rPr>
        <w:t>základy</w:t>
      </w:r>
      <w:r w:rsidR="00197D6D" w:rsidRPr="00197D6D">
        <w:rPr>
          <w:rFonts w:eastAsia="TimesNewRomanPSMT" w:cs="TimesNewRomanPSMT"/>
        </w:rPr>
        <w:t xml:space="preserve"> stojící mimo jiné na ekonomické</w:t>
      </w:r>
      <w:r w:rsidR="00197D6D">
        <w:rPr>
          <w:rFonts w:eastAsia="TimesNewRomanPSMT" w:cs="TimesNewRomanPSMT"/>
        </w:rPr>
        <w:t xml:space="preserve">, </w:t>
      </w:r>
      <w:r w:rsidR="00197D6D" w:rsidRPr="00197D6D">
        <w:rPr>
          <w:rFonts w:eastAsia="TimesNewRomanPSMT" w:cs="TimesNewRomanPSMT"/>
        </w:rPr>
        <w:t xml:space="preserve">informační i sociální </w:t>
      </w:r>
      <w:r w:rsidR="00197D6D" w:rsidRPr="00B77AF9">
        <w:rPr>
          <w:rFonts w:eastAsia="TimesNewRomanPSMT" w:cs="TimesNewRomanPSMT"/>
        </w:rPr>
        <w:t>úrovni. Tato spolupráce se s postupem času a s počtem společných aktivit prohlubovala, jednotlivé subjekty poznávali své možnosti a schopnosti, což vedlo ke zvyšování efektivnosti a vybudování důvěry me</w:t>
      </w:r>
      <w:r w:rsidR="002608A3">
        <w:rPr>
          <w:rFonts w:eastAsia="TimesNewRomanPSMT" w:cs="TimesNewRomanPSMT"/>
        </w:rPr>
        <w:t>zi subjekty. Tento proces kontin</w:t>
      </w:r>
      <w:r w:rsidR="00197D6D" w:rsidRPr="00B77AF9">
        <w:rPr>
          <w:rFonts w:eastAsia="TimesNewRomanPSMT" w:cs="TimesNewRomanPSMT"/>
        </w:rPr>
        <w:t xml:space="preserve">uálně pokračuje i nadále a zvyšuje se počet participujících subjektů </w:t>
      </w:r>
      <w:r w:rsidR="0067726A">
        <w:rPr>
          <w:rFonts w:eastAsia="TimesNewRomanPSMT" w:cs="TimesNewRomanPSMT"/>
        </w:rPr>
        <w:t>a</w:t>
      </w:r>
      <w:r w:rsidR="00197D6D" w:rsidRPr="00B77AF9">
        <w:rPr>
          <w:rFonts w:eastAsia="TimesNewRomanPSMT" w:cs="TimesNewRomanPSMT"/>
        </w:rPr>
        <w:t xml:space="preserve"> míra jejich zapojení.</w:t>
      </w:r>
    </w:p>
    <w:p w:rsidR="00A43313" w:rsidRDefault="00404A6F" w:rsidP="00A43313">
      <w:pPr>
        <w:autoSpaceDE w:val="0"/>
        <w:rPr>
          <w:rFonts w:eastAsia="TimesNewRomanPSMT" w:cs="TimesNewRomanPSMT"/>
        </w:rPr>
      </w:pPr>
      <w:r w:rsidRPr="00404A6F">
        <w:rPr>
          <w:rFonts w:eastAsia="TimesNewRomanPSMT" w:cs="TimesNewRomanPSMT"/>
        </w:rPr>
        <w:lastRenderedPageBreak/>
        <w:t xml:space="preserve">Na těchto základech vznikla </w:t>
      </w:r>
      <w:r w:rsidR="00A43313" w:rsidRPr="00404A6F">
        <w:rPr>
          <w:rFonts w:eastAsia="TimesNewRomanPSMT" w:cs="TimesNewRomanPSMT"/>
        </w:rPr>
        <w:t>MAS Litomyšlsko</w:t>
      </w:r>
      <w:r w:rsidRPr="00404A6F">
        <w:rPr>
          <w:rFonts w:eastAsia="TimesNewRomanPSMT" w:cs="TimesNewRomanPSMT"/>
        </w:rPr>
        <w:t xml:space="preserve"> o.p.s., která</w:t>
      </w:r>
      <w:r w:rsidR="00A43313" w:rsidRPr="00404A6F">
        <w:rPr>
          <w:rFonts w:eastAsia="TimesNewRomanPSMT" w:cs="TimesNewRomanPSMT"/>
        </w:rPr>
        <w:t xml:space="preserve"> byla zapsána do Rejstříku obecně prospěšných společností při Krajském soudu v Hradci Králové pobočka Pardubice dne 18.1.2007</w:t>
      </w:r>
    </w:p>
    <w:p w:rsidR="00A43313" w:rsidRPr="00E20B75" w:rsidRDefault="00E20B75" w:rsidP="00E20B75">
      <w:pPr>
        <w:pStyle w:val="Nadpis4"/>
        <w:rPr>
          <w:rFonts w:cs="Tahoma"/>
        </w:rPr>
      </w:pPr>
      <w:r w:rsidRPr="00E20B75">
        <w:rPr>
          <w:rFonts w:eastAsia="TimesNewRomanPSMT"/>
        </w:rPr>
        <w:t xml:space="preserve">Zkušenosti </w:t>
      </w:r>
      <w:r w:rsidR="00D75B21">
        <w:rPr>
          <w:rFonts w:eastAsia="TimesNewRomanPSMT"/>
        </w:rPr>
        <w:t>komunitních aktérů</w:t>
      </w:r>
      <w:r w:rsidRPr="00E20B75">
        <w:rPr>
          <w:rFonts w:eastAsia="TimesNewRomanPSMT"/>
        </w:rPr>
        <w:t xml:space="preserve"> před rokem 2007</w:t>
      </w:r>
    </w:p>
    <w:p w:rsidR="007030EB" w:rsidRDefault="007030EB" w:rsidP="007030EB">
      <w:pPr>
        <w:autoSpaceDE w:val="0"/>
        <w:rPr>
          <w:rFonts w:eastAsia="TimesNewRomanPSMT" w:cs="TimesNewRomanPSMT"/>
        </w:rPr>
      </w:pPr>
      <w:r>
        <w:rPr>
          <w:rFonts w:eastAsia="TimesNewRomanPSMT" w:cs="TimesNewRomanPSMT"/>
        </w:rPr>
        <w:t xml:space="preserve">Přestože byla MAS Litomyšlsko o.p.s. založena až začátkem roku 2007, byly zainteresovanými subjekty v území již dříve realizovány projekty v území, které spadaly do přípravného období </w:t>
      </w:r>
      <w:r w:rsidR="00D75B21">
        <w:rPr>
          <w:rFonts w:eastAsia="TimesNewRomanPSMT" w:cs="TimesNewRomanPSMT"/>
        </w:rPr>
        <w:t>Leader +, dotace z POV</w:t>
      </w:r>
      <w:r w:rsidR="00EA5F74">
        <w:rPr>
          <w:rStyle w:val="Znakapoznpodarou"/>
          <w:rFonts w:eastAsia="TimesNewRomanPSMT" w:cs="TimesNewRomanPSMT"/>
        </w:rPr>
        <w:footnoteReference w:id="7"/>
      </w:r>
      <w:r w:rsidR="00D75B21">
        <w:rPr>
          <w:rFonts w:eastAsia="TimesNewRomanPSMT" w:cs="TimesNewRomanPSMT"/>
        </w:rPr>
        <w:t xml:space="preserve"> (MMR</w:t>
      </w:r>
      <w:r w:rsidR="00EA5F74">
        <w:rPr>
          <w:rStyle w:val="Znakapoznpodarou"/>
          <w:rFonts w:eastAsia="TimesNewRomanPSMT" w:cs="TimesNewRomanPSMT"/>
        </w:rPr>
        <w:footnoteReference w:id="8"/>
      </w:r>
      <w:r w:rsidR="00D75B21">
        <w:rPr>
          <w:rFonts w:eastAsia="TimesNewRomanPSMT" w:cs="TimesNewRomanPSMT"/>
        </w:rPr>
        <w:t>) Leader +</w:t>
      </w:r>
      <w:r>
        <w:rPr>
          <w:rFonts w:eastAsia="TimesNewRomanPSMT" w:cs="TimesNewRomanPSMT"/>
        </w:rPr>
        <w:t>.</w:t>
      </w:r>
      <w:r w:rsidR="00D75B21">
        <w:rPr>
          <w:rFonts w:eastAsia="TimesNewRomanPSMT" w:cs="TimesNewRomanPSMT"/>
        </w:rPr>
        <w:t xml:space="preserve"> Tyto subjekty pak povětšinou tvořily a tvoří základ aktivní komunity v regionu zastřešené MAS Litomyšlsko o.p.s..</w:t>
      </w:r>
    </w:p>
    <w:p w:rsidR="00A43313" w:rsidRPr="00297C5C" w:rsidRDefault="00A43313" w:rsidP="00A43313">
      <w:pPr>
        <w:autoSpaceDE w:val="0"/>
        <w:rPr>
          <w:rFonts w:eastAsia="TimesNewRomanPSMT" w:cs="TimesNewRomanPSMT"/>
          <w:bCs/>
          <w:u w:val="single"/>
        </w:rPr>
      </w:pPr>
      <w:r w:rsidRPr="00297C5C">
        <w:rPr>
          <w:rFonts w:eastAsia="TimesNewRomanPSMT" w:cs="TimesNewRomanPSMT"/>
          <w:bCs/>
          <w:u w:val="single"/>
        </w:rPr>
        <w:t>Program obnovy venkova</w:t>
      </w:r>
      <w:r w:rsidR="00F10251" w:rsidRPr="00297C5C">
        <w:rPr>
          <w:rFonts w:eastAsia="TimesNewRomanPSMT" w:cs="TimesNewRomanPSMT"/>
          <w:bCs/>
          <w:u w:val="single"/>
        </w:rPr>
        <w:t xml:space="preserve"> (Ministerstvo pro místní rozvoj ČR)</w:t>
      </w:r>
      <w:r w:rsidRPr="00297C5C">
        <w:rPr>
          <w:rFonts w:eastAsia="TimesNewRomanPSMT" w:cs="TimesNewRomanPSMT"/>
          <w:bCs/>
          <w:u w:val="single"/>
        </w:rPr>
        <w:t>:</w:t>
      </w:r>
    </w:p>
    <w:p w:rsidR="007030EB" w:rsidRPr="007030EB" w:rsidRDefault="00A43313" w:rsidP="00A60AC9">
      <w:pPr>
        <w:pStyle w:val="Odstavecseseznamem"/>
        <w:numPr>
          <w:ilvl w:val="0"/>
          <w:numId w:val="12"/>
        </w:numPr>
        <w:tabs>
          <w:tab w:val="left" w:pos="720"/>
        </w:tabs>
        <w:autoSpaceDE w:val="0"/>
        <w:rPr>
          <w:rFonts w:eastAsia="TimesNewRomanPSMT" w:cs="TimesNewRomanPSMT"/>
        </w:rPr>
      </w:pPr>
      <w:r w:rsidRPr="007030EB">
        <w:rPr>
          <w:rFonts w:eastAsia="TimesNewRomanPSMT" w:cs="TimesNewRomanPSMT"/>
        </w:rPr>
        <w:t>2001</w:t>
      </w:r>
    </w:p>
    <w:p w:rsidR="00A43313" w:rsidRPr="007030EB" w:rsidRDefault="00A43313" w:rsidP="00A60AC9">
      <w:pPr>
        <w:pStyle w:val="Odstavecseseznamem"/>
        <w:numPr>
          <w:ilvl w:val="1"/>
          <w:numId w:val="12"/>
        </w:numPr>
        <w:tabs>
          <w:tab w:val="left" w:pos="720"/>
        </w:tabs>
        <w:autoSpaceDE w:val="0"/>
        <w:rPr>
          <w:rFonts w:eastAsia="TimesNewRomanPSMT" w:cs="TimesNewRomanPSMT"/>
        </w:rPr>
      </w:pPr>
      <w:r w:rsidRPr="007030EB">
        <w:rPr>
          <w:bCs/>
          <w:lang w:eastAsia="ar-SA"/>
        </w:rPr>
        <w:t>Vytvoření značených cyklotras pro horská kola v mikroregionu za finanční pomoci M</w:t>
      </w:r>
      <w:r w:rsidR="007030EB" w:rsidRPr="007030EB">
        <w:rPr>
          <w:bCs/>
          <w:lang w:eastAsia="ar-SA"/>
        </w:rPr>
        <w:t>MR a programu POV. Projekt patřil</w:t>
      </w:r>
      <w:r w:rsidRPr="007030EB">
        <w:rPr>
          <w:bCs/>
          <w:lang w:eastAsia="ar-SA"/>
        </w:rPr>
        <w:t xml:space="preserve"> svojí originalitou značení a provedením k ojedinělý</w:t>
      </w:r>
      <w:r w:rsidR="007030EB" w:rsidRPr="007030EB">
        <w:rPr>
          <w:bCs/>
          <w:lang w:eastAsia="ar-SA"/>
        </w:rPr>
        <w:t>m počinům v této oblasti. Bylo vy</w:t>
      </w:r>
      <w:r w:rsidRPr="007030EB">
        <w:rPr>
          <w:bCs/>
          <w:lang w:eastAsia="ar-SA"/>
        </w:rPr>
        <w:t>značeno několik okruhů v celkové délce kolem 150 km tras.</w:t>
      </w:r>
    </w:p>
    <w:p w:rsidR="00A43313" w:rsidRPr="007030EB" w:rsidRDefault="00A43313" w:rsidP="00A60AC9">
      <w:pPr>
        <w:pStyle w:val="Odstavecseseznamem"/>
        <w:widowControl w:val="0"/>
        <w:numPr>
          <w:ilvl w:val="1"/>
          <w:numId w:val="12"/>
        </w:numPr>
        <w:autoSpaceDE w:val="0"/>
        <w:rPr>
          <w:bCs/>
          <w:lang w:eastAsia="ar-SA"/>
        </w:rPr>
      </w:pPr>
      <w:r w:rsidRPr="007030EB">
        <w:rPr>
          <w:bCs/>
          <w:lang w:eastAsia="ar-SA"/>
        </w:rPr>
        <w:t>Projekt propagace, vydání map, cykloprůvodce a dalších propagačních materiálů.</w:t>
      </w:r>
    </w:p>
    <w:p w:rsidR="00A43313" w:rsidRPr="007030EB" w:rsidRDefault="00A43313" w:rsidP="00A60AC9">
      <w:pPr>
        <w:pStyle w:val="Odstavecseseznamem"/>
        <w:numPr>
          <w:ilvl w:val="0"/>
          <w:numId w:val="12"/>
        </w:numPr>
        <w:autoSpaceDE w:val="0"/>
        <w:rPr>
          <w:rFonts w:eastAsia="TimesNewRomanPSMT" w:cs="TimesNewRomanPSMT"/>
        </w:rPr>
      </w:pPr>
      <w:r w:rsidRPr="007030EB">
        <w:rPr>
          <w:rFonts w:eastAsia="TimesNewRomanPSMT" w:cs="TimesNewRomanPSMT"/>
        </w:rPr>
        <w:t>2002</w:t>
      </w:r>
    </w:p>
    <w:p w:rsidR="00A43313" w:rsidRPr="007030EB" w:rsidRDefault="00A43313" w:rsidP="00A60AC9">
      <w:pPr>
        <w:pStyle w:val="Odstavecseseznamem"/>
        <w:widowControl w:val="0"/>
        <w:numPr>
          <w:ilvl w:val="1"/>
          <w:numId w:val="12"/>
        </w:numPr>
        <w:autoSpaceDE w:val="0"/>
        <w:rPr>
          <w:rFonts w:eastAsia="TimesNewRomanPSMT" w:cs="TimesNewRomanPSMT"/>
        </w:rPr>
      </w:pPr>
      <w:r w:rsidRPr="007030EB">
        <w:rPr>
          <w:rFonts w:eastAsia="TimesNewRomanPSMT" w:cs="TimesNewRomanPSMT"/>
        </w:rPr>
        <w:t>„Cyklotrasy a doprovodná architektura v mikroregionu Litomyšlsko“ (330 tis. Kč dotace, rozpočet 429 tis. Kč). Součástí projektu bylo 16 velkoplošných informačních tabulí, obsahujících přehlednou mapu širokého okolí regionu, podrobnou mapu obce, text o obci.</w:t>
      </w:r>
    </w:p>
    <w:p w:rsidR="00A43313" w:rsidRPr="007030EB" w:rsidRDefault="00A43313" w:rsidP="00A60AC9">
      <w:pPr>
        <w:pStyle w:val="Odstavecseseznamem"/>
        <w:widowControl w:val="0"/>
        <w:numPr>
          <w:ilvl w:val="1"/>
          <w:numId w:val="12"/>
        </w:numPr>
        <w:autoSpaceDE w:val="0"/>
        <w:rPr>
          <w:lang w:eastAsia="ar-SA"/>
        </w:rPr>
      </w:pPr>
      <w:r w:rsidRPr="007030EB">
        <w:rPr>
          <w:lang w:eastAsia="ar-SA"/>
        </w:rPr>
        <w:t>Ve spolupráci s místními podnikateli byl vytvořen</w:t>
      </w:r>
      <w:r w:rsidR="00EE2B1D" w:rsidRPr="007030EB">
        <w:rPr>
          <w:lang w:eastAsia="ar-SA"/>
        </w:rPr>
        <w:t xml:space="preserve"> </w:t>
      </w:r>
      <w:r w:rsidRPr="007030EB">
        <w:rPr>
          <w:lang w:eastAsia="ar-SA"/>
        </w:rPr>
        <w:t xml:space="preserve">projekt pro malé děti a rodiny pod názvem "Závod lesní krajinou". Již tento první ročník ukázal, že </w:t>
      </w:r>
      <w:r w:rsidRPr="007030EB">
        <w:rPr>
          <w:lang w:eastAsia="ar-SA"/>
        </w:rPr>
        <w:lastRenderedPageBreak/>
        <w:t>tudy vede cesta, jak nenásilně přiblížit dětem spojení přírody a sportu.</w:t>
      </w:r>
    </w:p>
    <w:p w:rsidR="00A43313" w:rsidRPr="007030EB" w:rsidRDefault="00A43313" w:rsidP="00A60AC9">
      <w:pPr>
        <w:pStyle w:val="Odstavecseseznamem"/>
        <w:numPr>
          <w:ilvl w:val="0"/>
          <w:numId w:val="12"/>
        </w:numPr>
        <w:autoSpaceDE w:val="0"/>
        <w:rPr>
          <w:rFonts w:eastAsia="TimesNewRomanPSMT" w:cs="TimesNewRomanPSMT"/>
        </w:rPr>
      </w:pPr>
      <w:r w:rsidRPr="007030EB">
        <w:rPr>
          <w:rFonts w:eastAsia="TimesNewRomanPSMT" w:cs="TimesNewRomanPSMT"/>
        </w:rPr>
        <w:t>2003</w:t>
      </w:r>
    </w:p>
    <w:p w:rsidR="00A43313" w:rsidRPr="007030EB" w:rsidRDefault="007030EB" w:rsidP="00A60AC9">
      <w:pPr>
        <w:pStyle w:val="Odstavecseseznamem"/>
        <w:widowControl w:val="0"/>
        <w:numPr>
          <w:ilvl w:val="1"/>
          <w:numId w:val="12"/>
        </w:numPr>
        <w:autoSpaceDE w:val="0"/>
        <w:rPr>
          <w:rFonts w:eastAsia="TimesNewRomanPSMT" w:cs="TimesNewRomanPSMT"/>
        </w:rPr>
      </w:pPr>
      <w:r w:rsidRPr="007030EB">
        <w:rPr>
          <w:rFonts w:eastAsia="TimesNewRomanPSMT" w:cs="TimesNewRomanPSMT"/>
        </w:rPr>
        <w:t>K</w:t>
      </w:r>
      <w:r w:rsidR="00A43313" w:rsidRPr="007030EB">
        <w:rPr>
          <w:rFonts w:eastAsia="TimesNewRomanPSMT" w:cs="TimesNewRomanPSMT"/>
        </w:rPr>
        <w:t>omunikační propojení obcí mikroregionu Litomyšlsko (dotace 210 tis. Kč, rozpočet 354 tis. Kč)</w:t>
      </w:r>
      <w:r w:rsidRPr="007030EB">
        <w:rPr>
          <w:rFonts w:eastAsia="TimesNewRomanPSMT" w:cs="TimesNewRomanPSMT"/>
        </w:rPr>
        <w:t xml:space="preserve">. Jednalo se o </w:t>
      </w:r>
      <w:r w:rsidR="00A43313" w:rsidRPr="007030EB">
        <w:rPr>
          <w:rFonts w:eastAsia="TimesNewRomanPSMT" w:cs="TimesNewRomanPSMT"/>
        </w:rPr>
        <w:t>nákup 12 PC pro obce mikroregionu.</w:t>
      </w:r>
    </w:p>
    <w:p w:rsidR="00A43313" w:rsidRPr="007030EB" w:rsidRDefault="00A43313" w:rsidP="00A60AC9">
      <w:pPr>
        <w:pStyle w:val="Odstavecseseznamem"/>
        <w:widowControl w:val="0"/>
        <w:numPr>
          <w:ilvl w:val="1"/>
          <w:numId w:val="12"/>
        </w:numPr>
        <w:autoSpaceDE w:val="0"/>
        <w:rPr>
          <w:rFonts w:eastAsia="TimesNewRomanPSMT" w:cs="TimesNewRomanPSMT"/>
        </w:rPr>
      </w:pPr>
      <w:r w:rsidRPr="007030EB">
        <w:rPr>
          <w:rFonts w:eastAsia="TimesNewRomanPSMT" w:cs="TimesNewRomanPSMT"/>
        </w:rPr>
        <w:t>informační systém mikroregionu Litomyšlsko (dotace 154 tis. Kč, rozpočet 220 tis. Kč)</w:t>
      </w:r>
      <w:r w:rsidR="007030EB" w:rsidRPr="007030EB">
        <w:rPr>
          <w:rFonts w:eastAsia="TimesNewRomanPSMT" w:cs="TimesNewRomanPSMT"/>
        </w:rPr>
        <w:t xml:space="preserve">. Předmětem bylo </w:t>
      </w:r>
      <w:r w:rsidRPr="007030EB">
        <w:rPr>
          <w:rFonts w:eastAsia="TimesNewRomanPSMT" w:cs="TimesNewRomanPSMT"/>
        </w:rPr>
        <w:t xml:space="preserve">zpracování nového informačního systému – webových stránek </w:t>
      </w:r>
      <w:r w:rsidRPr="002608A3">
        <w:rPr>
          <w:rFonts w:eastAsia="TimesNewRomanPSMT" w:cs="TimesNewRomanPSMT"/>
        </w:rPr>
        <w:t>mikroregionu (</w:t>
      </w:r>
      <w:hyperlink r:id="rId14" w:history="1">
        <w:r w:rsidRPr="002608A3">
          <w:rPr>
            <w:rStyle w:val="Hypertextovodkaz"/>
            <w:color w:val="auto"/>
          </w:rPr>
          <w:t>www.litomyslsko.cz</w:t>
        </w:r>
      </w:hyperlink>
      <w:r w:rsidRPr="002608A3">
        <w:rPr>
          <w:rFonts w:eastAsia="TimesNewRomanPSMT" w:cs="TimesNewRomanPSMT"/>
        </w:rPr>
        <w:t>)</w:t>
      </w:r>
    </w:p>
    <w:p w:rsidR="00A43313" w:rsidRPr="007030EB" w:rsidRDefault="00A43313" w:rsidP="00A60AC9">
      <w:pPr>
        <w:pStyle w:val="Odstavecseseznamem"/>
        <w:numPr>
          <w:ilvl w:val="0"/>
          <w:numId w:val="12"/>
        </w:numPr>
        <w:autoSpaceDE w:val="0"/>
        <w:rPr>
          <w:rFonts w:eastAsia="TimesNewRomanPSMT" w:cs="TimesNewRomanPSMT"/>
        </w:rPr>
      </w:pPr>
      <w:r w:rsidRPr="007030EB">
        <w:rPr>
          <w:rFonts w:eastAsia="TimesNewRomanPSMT" w:cs="TimesNewRomanPSMT"/>
        </w:rPr>
        <w:t>2004</w:t>
      </w:r>
    </w:p>
    <w:p w:rsidR="00A43313" w:rsidRPr="00E820DD" w:rsidRDefault="00A43313" w:rsidP="00A60AC9">
      <w:pPr>
        <w:pStyle w:val="Odstavecseseznamem"/>
        <w:widowControl w:val="0"/>
        <w:numPr>
          <w:ilvl w:val="1"/>
          <w:numId w:val="12"/>
        </w:numPr>
        <w:autoSpaceDE w:val="0"/>
        <w:rPr>
          <w:rFonts w:eastAsia="TimesNewRomanPSMT" w:cs="TimesNewRomanPSMT"/>
        </w:rPr>
      </w:pPr>
      <w:r w:rsidRPr="00E820DD">
        <w:rPr>
          <w:rFonts w:eastAsia="TimesNewRomanPSMT" w:cs="TimesNewRomanPSMT"/>
        </w:rPr>
        <w:t>Sportoviště na území působnosti MAS Litomyšlsko (dotace 245 tis. Kč, rozpočet 337 531 Kč)</w:t>
      </w:r>
      <w:r w:rsidR="00E820DD" w:rsidRPr="00E820DD">
        <w:rPr>
          <w:rFonts w:eastAsia="TimesNewRomanPSMT" w:cs="TimesNewRomanPSMT"/>
        </w:rPr>
        <w:t>.</w:t>
      </w:r>
      <w:r w:rsidR="00E820DD">
        <w:rPr>
          <w:rFonts w:eastAsia="TimesNewRomanPSMT" w:cs="TimesNewRomanPSMT"/>
        </w:rPr>
        <w:t xml:space="preserve"> Předmětem byly obnovy a úpravy sportovišť v obcích Čistá, Makov, Němčice, Osík, Sebranice, Vidlatá Seč a Vlčkov.</w:t>
      </w:r>
    </w:p>
    <w:p w:rsidR="00A43313" w:rsidRPr="00E820DD" w:rsidRDefault="00A43313" w:rsidP="00A60AC9">
      <w:pPr>
        <w:pStyle w:val="Odstavecseseznamem"/>
        <w:numPr>
          <w:ilvl w:val="0"/>
          <w:numId w:val="12"/>
        </w:numPr>
        <w:autoSpaceDE w:val="0"/>
        <w:rPr>
          <w:rFonts w:eastAsia="TimesNewRomanPSMT" w:cs="TimesNewRomanPSMT"/>
        </w:rPr>
      </w:pPr>
      <w:r w:rsidRPr="00E820DD">
        <w:rPr>
          <w:rFonts w:eastAsia="TimesNewRomanPSMT" w:cs="TimesNewRomanPSMT"/>
        </w:rPr>
        <w:t>2005</w:t>
      </w:r>
    </w:p>
    <w:p w:rsidR="00A43313" w:rsidRPr="00E820DD" w:rsidRDefault="00A43313" w:rsidP="00A60AC9">
      <w:pPr>
        <w:pStyle w:val="Odstavecseseznamem"/>
        <w:widowControl w:val="0"/>
        <w:numPr>
          <w:ilvl w:val="1"/>
          <w:numId w:val="12"/>
        </w:numPr>
        <w:autoSpaceDE w:val="0"/>
        <w:rPr>
          <w:rFonts w:eastAsia="TimesNewRomanPSMT" w:cs="TimesNewRomanPSMT"/>
        </w:rPr>
      </w:pPr>
      <w:r w:rsidRPr="00E820DD">
        <w:rPr>
          <w:rFonts w:eastAsia="TimesNewRomanPSMT" w:cs="TimesNewRomanPSMT"/>
        </w:rPr>
        <w:t>Centrální veřejná prostranství na území působnosti MAS Litomyšlsko (dotace 245 tis. Kč, rozpočet 359 172 Kč)</w:t>
      </w:r>
      <w:r w:rsidR="00E820DD" w:rsidRPr="00E820DD">
        <w:rPr>
          <w:rFonts w:eastAsia="TimesNewRomanPSMT" w:cs="TimesNewRomanPSMT"/>
        </w:rPr>
        <w:t>. Šlo o investice do prostranství v obcích Bohuňovice, Desná, Němčice a Poříčí u Litomyšle.</w:t>
      </w:r>
    </w:p>
    <w:p w:rsidR="00A43313" w:rsidRPr="00E820DD" w:rsidRDefault="00A43313" w:rsidP="00A60AC9">
      <w:pPr>
        <w:pStyle w:val="Odstavecseseznamem"/>
        <w:numPr>
          <w:ilvl w:val="0"/>
          <w:numId w:val="12"/>
        </w:numPr>
        <w:autoSpaceDE w:val="0"/>
        <w:rPr>
          <w:rFonts w:eastAsia="TimesNewRomanPSMT" w:cs="TimesNewRomanPSMT"/>
        </w:rPr>
      </w:pPr>
      <w:r w:rsidRPr="00E820DD">
        <w:rPr>
          <w:rFonts w:eastAsia="TimesNewRomanPSMT" w:cs="TimesNewRomanPSMT"/>
        </w:rPr>
        <w:t>2006</w:t>
      </w:r>
    </w:p>
    <w:p w:rsidR="00A43313" w:rsidRPr="001D6490" w:rsidRDefault="00A43313" w:rsidP="00A60AC9">
      <w:pPr>
        <w:pStyle w:val="Odstavecseseznamem"/>
        <w:widowControl w:val="0"/>
        <w:numPr>
          <w:ilvl w:val="1"/>
          <w:numId w:val="12"/>
        </w:numPr>
        <w:autoSpaceDE w:val="0"/>
        <w:rPr>
          <w:rFonts w:eastAsia="TimesNewRomanPSMT" w:cs="TimesNewRomanPSMT"/>
        </w:rPr>
      </w:pPr>
      <w:r w:rsidRPr="001D6490">
        <w:rPr>
          <w:rFonts w:eastAsia="TimesNewRomanPSMT" w:cs="TimesNewRomanPSMT"/>
        </w:rPr>
        <w:t>Sportoviště na území působnosti MAS Litomyšlsko (dotace 300 tis. Kč, rozpočet 439 847 Kč)</w:t>
      </w:r>
      <w:r w:rsidR="001D6490" w:rsidRPr="001D6490">
        <w:rPr>
          <w:rFonts w:eastAsia="TimesNewRomanPSMT" w:cs="TimesNewRomanPSMT"/>
        </w:rPr>
        <w:t>. V rámci projektu byla převážně opravena nebo upravena sportoviště v obcích Perálec, Cerekvice nad Loučnou, Horní Újezd, Řídký, Lubná, Proseč, Němčice, Sedliště, Bohuňovice a Tržek.</w:t>
      </w:r>
    </w:p>
    <w:p w:rsidR="00A43313" w:rsidRPr="00297C5C" w:rsidRDefault="001D6490" w:rsidP="00A43313">
      <w:pPr>
        <w:autoSpaceDE w:val="0"/>
        <w:rPr>
          <w:rFonts w:eastAsia="TimesNewRomanPSMT" w:cs="TimesNewRomanPSMT"/>
          <w:bCs/>
          <w:u w:val="single"/>
        </w:rPr>
      </w:pPr>
      <w:r w:rsidRPr="00297C5C">
        <w:rPr>
          <w:rFonts w:eastAsia="TimesNewRomanPSMT" w:cs="TimesNewRomanPSMT"/>
          <w:bCs/>
          <w:u w:val="single"/>
        </w:rPr>
        <w:t>LEADER + (Ministerstvo pro místní rozvoj ČR):</w:t>
      </w:r>
    </w:p>
    <w:p w:rsidR="00A43313" w:rsidRPr="001D6490" w:rsidRDefault="00A43313" w:rsidP="00A60AC9">
      <w:pPr>
        <w:pStyle w:val="Odstavecseseznamem"/>
        <w:numPr>
          <w:ilvl w:val="0"/>
          <w:numId w:val="12"/>
        </w:numPr>
        <w:autoSpaceDE w:val="0"/>
        <w:rPr>
          <w:rFonts w:eastAsia="TimesNewRomanPSMT" w:cs="TimesNewRomanPSMT"/>
        </w:rPr>
      </w:pPr>
      <w:r w:rsidRPr="001D6490">
        <w:rPr>
          <w:rFonts w:eastAsia="TimesNewRomanPSMT" w:cs="TimesNewRomanPSMT"/>
        </w:rPr>
        <w:t>Leader + (2003)</w:t>
      </w:r>
    </w:p>
    <w:p w:rsidR="00A43313" w:rsidRPr="00297C5C" w:rsidRDefault="00A43313" w:rsidP="00A60AC9">
      <w:pPr>
        <w:pStyle w:val="Odstavecseseznamem"/>
        <w:widowControl w:val="0"/>
        <w:numPr>
          <w:ilvl w:val="1"/>
          <w:numId w:val="12"/>
        </w:numPr>
        <w:tabs>
          <w:tab w:val="left" w:pos="1080"/>
        </w:tabs>
        <w:autoSpaceDE w:val="0"/>
        <w:rPr>
          <w:rFonts w:eastAsia="TimesNewRomanPSMT" w:cs="TimesNewRomanPSMT"/>
        </w:rPr>
      </w:pPr>
      <w:r w:rsidRPr="00297C5C">
        <w:rPr>
          <w:rFonts w:eastAsia="TimesNewRomanPSMT" w:cs="TimesNewRomanPSMT"/>
        </w:rPr>
        <w:t>Příprava dokumentací projektů mikroregionu</w:t>
      </w:r>
      <w:r w:rsidR="00297C5C" w:rsidRPr="00297C5C">
        <w:rPr>
          <w:rFonts w:eastAsia="TimesNewRomanPSMT" w:cs="TimesNewRomanPSMT"/>
        </w:rPr>
        <w:t xml:space="preserve"> Litomyšlsko pro Evropské fondy (p</w:t>
      </w:r>
      <w:r w:rsidRPr="00297C5C">
        <w:rPr>
          <w:rFonts w:eastAsia="TimesNewRomanPSMT" w:cs="TimesNewRomanPSMT"/>
        </w:rPr>
        <w:t>rojektová dokumentace a studie</w:t>
      </w:r>
      <w:r w:rsidR="00EE2B1D" w:rsidRPr="00297C5C">
        <w:rPr>
          <w:rFonts w:eastAsia="TimesNewRomanPSMT" w:cs="TimesNewRomanPSMT"/>
        </w:rPr>
        <w:t xml:space="preserve"> </w:t>
      </w:r>
      <w:r w:rsidRPr="00297C5C">
        <w:rPr>
          <w:rFonts w:eastAsia="TimesNewRomanPSMT" w:cs="TimesNewRomanPSMT"/>
        </w:rPr>
        <w:t>proveditelnosti pro Centrum sociálních služeb Chotovice</w:t>
      </w:r>
      <w:r w:rsidR="00297C5C" w:rsidRPr="00297C5C">
        <w:rPr>
          <w:rFonts w:eastAsia="TimesNewRomanPSMT" w:cs="TimesNewRomanPSMT"/>
        </w:rPr>
        <w:t>).</w:t>
      </w:r>
    </w:p>
    <w:p w:rsidR="00A43313" w:rsidRPr="00297C5C" w:rsidRDefault="00A43313" w:rsidP="00A60AC9">
      <w:pPr>
        <w:pStyle w:val="Odstavecseseznamem"/>
        <w:widowControl w:val="0"/>
        <w:numPr>
          <w:ilvl w:val="2"/>
          <w:numId w:val="12"/>
        </w:numPr>
        <w:tabs>
          <w:tab w:val="left" w:pos="1080"/>
        </w:tabs>
        <w:autoSpaceDE w:val="0"/>
        <w:rPr>
          <w:rFonts w:eastAsia="TimesNewRomanPSMT" w:cs="TimesNewRomanPSMT"/>
        </w:rPr>
      </w:pPr>
      <w:r w:rsidRPr="00297C5C">
        <w:rPr>
          <w:rFonts w:eastAsia="TimesNewRomanPSMT" w:cs="TimesNewRomanPSMT"/>
        </w:rPr>
        <w:t xml:space="preserve">Rozvojové projekty v rámci </w:t>
      </w:r>
      <w:r w:rsidR="00CD55B8">
        <w:rPr>
          <w:rFonts w:eastAsia="TimesNewRomanPSMT" w:cs="TimesNewRomanPSMT"/>
        </w:rPr>
        <w:t>sdružení obcí</w:t>
      </w:r>
      <w:r w:rsidRPr="00297C5C">
        <w:rPr>
          <w:rFonts w:eastAsia="TimesNewRomanPSMT" w:cs="TimesNewRomanPSMT"/>
        </w:rPr>
        <w:t xml:space="preserve"> Toulovcovy Maštale </w:t>
      </w:r>
      <w:r w:rsidR="00297C5C" w:rsidRPr="00297C5C">
        <w:rPr>
          <w:rFonts w:eastAsia="TimesNewRomanPSMT" w:cs="TimesNewRomanPSMT"/>
        </w:rPr>
        <w:t>(ř</w:t>
      </w:r>
      <w:r w:rsidRPr="00297C5C">
        <w:rPr>
          <w:rFonts w:eastAsia="TimesNewRomanPSMT" w:cs="TimesNewRomanPSMT"/>
        </w:rPr>
        <w:t xml:space="preserve">ešení </w:t>
      </w:r>
      <w:r w:rsidRPr="00297C5C">
        <w:rPr>
          <w:rFonts w:eastAsia="TimesNewRomanPSMT" w:cs="TimesNewRomanPSMT"/>
        </w:rPr>
        <w:lastRenderedPageBreak/>
        <w:t>udržitelnosti estetické a kulturní tváře krajiny</w:t>
      </w:r>
      <w:r w:rsidR="00297C5C" w:rsidRPr="00297C5C">
        <w:rPr>
          <w:rFonts w:eastAsia="TimesNewRomanPSMT" w:cs="TimesNewRomanPSMT"/>
        </w:rPr>
        <w:t>, r</w:t>
      </w:r>
      <w:r w:rsidRPr="00297C5C">
        <w:rPr>
          <w:rFonts w:eastAsia="TimesNewRomanPSMT" w:cs="TimesNewRomanPSMT"/>
        </w:rPr>
        <w:t>ozšíření prosečského muzea dýmek</w:t>
      </w:r>
      <w:r w:rsidR="00297C5C" w:rsidRPr="00297C5C">
        <w:rPr>
          <w:rFonts w:eastAsia="TimesNewRomanPSMT" w:cs="TimesNewRomanPSMT"/>
        </w:rPr>
        <w:t>, n</w:t>
      </w:r>
      <w:r w:rsidRPr="00297C5C">
        <w:rPr>
          <w:rFonts w:eastAsia="TimesNewRomanPSMT" w:cs="TimesNewRomanPSMT"/>
        </w:rPr>
        <w:t>ové využití Kulturního domu v Proseči</w:t>
      </w:r>
      <w:r w:rsidR="00297C5C" w:rsidRPr="00297C5C">
        <w:rPr>
          <w:rFonts w:eastAsia="TimesNewRomanPSMT" w:cs="TimesNewRomanPSMT"/>
        </w:rPr>
        <w:t xml:space="preserve">, </w:t>
      </w:r>
      <w:r w:rsidR="00297C5C">
        <w:rPr>
          <w:rFonts w:eastAsia="TimesNewRomanPSMT" w:cs="TimesNewRomanPSMT"/>
        </w:rPr>
        <w:t>v</w:t>
      </w:r>
      <w:r w:rsidRPr="00297C5C">
        <w:rPr>
          <w:rFonts w:eastAsia="TimesNewRomanPSMT" w:cs="TimesNewRomanPSMT"/>
        </w:rPr>
        <w:t>yužití alternativních zdrojů energie</w:t>
      </w:r>
      <w:r w:rsidR="00CD55B8">
        <w:rPr>
          <w:rFonts w:eastAsia="TimesNewRomanPSMT" w:cs="TimesNewRomanPSMT"/>
        </w:rPr>
        <w:t>)</w:t>
      </w:r>
      <w:r w:rsidR="00297C5C">
        <w:rPr>
          <w:rFonts w:eastAsia="TimesNewRomanPSMT" w:cs="TimesNewRomanPSMT"/>
        </w:rPr>
        <w:t>.</w:t>
      </w:r>
    </w:p>
    <w:p w:rsidR="00A43313" w:rsidRPr="001D6490" w:rsidRDefault="00A43313" w:rsidP="00A60AC9">
      <w:pPr>
        <w:pStyle w:val="Odstavecseseznamem"/>
        <w:numPr>
          <w:ilvl w:val="0"/>
          <w:numId w:val="12"/>
        </w:numPr>
        <w:autoSpaceDE w:val="0"/>
        <w:rPr>
          <w:rFonts w:eastAsia="TimesNewRomanPSMT" w:cs="TimesNewRomanPSMT"/>
        </w:rPr>
      </w:pPr>
      <w:r w:rsidRPr="001D6490">
        <w:rPr>
          <w:rFonts w:eastAsia="TimesNewRomanPSMT" w:cs="TimesNewRomanPSMT"/>
        </w:rPr>
        <w:t>Leader + (2004)</w:t>
      </w:r>
    </w:p>
    <w:p w:rsidR="00A43313" w:rsidRPr="00297C5C" w:rsidRDefault="00A43313" w:rsidP="00A60AC9">
      <w:pPr>
        <w:pStyle w:val="Odstavecseseznamem"/>
        <w:numPr>
          <w:ilvl w:val="1"/>
          <w:numId w:val="12"/>
        </w:numPr>
        <w:autoSpaceDE w:val="0"/>
        <w:rPr>
          <w:rFonts w:eastAsia="TimesNewRomanPSMT" w:cs="TimesNewRomanPSMT"/>
        </w:rPr>
      </w:pPr>
      <w:r w:rsidRPr="00297C5C">
        <w:rPr>
          <w:rFonts w:eastAsia="TimesNewRomanPSMT" w:cs="TimesNewRomanPSMT"/>
        </w:rPr>
        <w:t>Příprava pilotních projektů pro Evropské fondy v rámci partnerství mikroregionu Litomyšlsko</w:t>
      </w:r>
      <w:r w:rsidR="00C974FF">
        <w:rPr>
          <w:rFonts w:eastAsia="TimesNewRomanPSMT" w:cs="TimesNewRomanPSMT"/>
        </w:rPr>
        <w:t>.</w:t>
      </w:r>
    </w:p>
    <w:p w:rsidR="00A43313" w:rsidRPr="00297C5C" w:rsidRDefault="00A43313" w:rsidP="00A60AC9">
      <w:pPr>
        <w:pStyle w:val="Odstavecseseznamem"/>
        <w:numPr>
          <w:ilvl w:val="0"/>
          <w:numId w:val="12"/>
        </w:numPr>
        <w:autoSpaceDE w:val="0"/>
        <w:rPr>
          <w:rFonts w:eastAsia="TimesNewRomanPSMT" w:cs="TimesNewRomanPSMT"/>
        </w:rPr>
      </w:pPr>
      <w:r w:rsidRPr="00297C5C">
        <w:rPr>
          <w:rFonts w:eastAsia="TimesNewRomanPSMT" w:cs="TimesNewRomanPSMT"/>
        </w:rPr>
        <w:t>Leader + (2006)</w:t>
      </w:r>
    </w:p>
    <w:p w:rsidR="00A43313" w:rsidRPr="00297C5C" w:rsidRDefault="00A43313" w:rsidP="00A60AC9">
      <w:pPr>
        <w:pStyle w:val="Odstavecseseznamem"/>
        <w:numPr>
          <w:ilvl w:val="1"/>
          <w:numId w:val="12"/>
        </w:numPr>
        <w:autoSpaceDE w:val="0"/>
        <w:rPr>
          <w:rFonts w:eastAsia="TimesNewRomanPSMT" w:cs="TimesNewRomanPSMT"/>
        </w:rPr>
      </w:pPr>
      <w:r w:rsidRPr="00297C5C">
        <w:rPr>
          <w:rFonts w:eastAsia="TimesNewRomanPSMT" w:cs="TimesNewRomanPSMT"/>
        </w:rPr>
        <w:t>„Pilotní projekty v rámci partnerství v mikroregionu Litomyšlsko, II. etapa“ představuje II. etapu rozšíření Muzea dýmek v Proseči (dotace 840 tis. Kč)</w:t>
      </w:r>
      <w:r w:rsidR="00C974FF">
        <w:rPr>
          <w:rFonts w:eastAsia="TimesNewRomanPSMT" w:cs="TimesNewRomanPSMT"/>
        </w:rPr>
        <w:t>.</w:t>
      </w:r>
    </w:p>
    <w:p w:rsidR="00A43313" w:rsidRPr="00297C5C" w:rsidRDefault="00C974FF" w:rsidP="00A60AC9">
      <w:pPr>
        <w:pStyle w:val="Odstavecseseznamem"/>
        <w:numPr>
          <w:ilvl w:val="1"/>
          <w:numId w:val="12"/>
        </w:numPr>
        <w:autoSpaceDE w:val="0"/>
        <w:rPr>
          <w:rFonts w:eastAsia="TimesNewRomanPSMT" w:cs="TimesNewRomanPSMT"/>
        </w:rPr>
      </w:pPr>
      <w:r>
        <w:rPr>
          <w:rFonts w:eastAsia="TimesNewRomanPSMT" w:cs="TimesNewRomanPSMT"/>
        </w:rPr>
        <w:t>V</w:t>
      </w:r>
      <w:r w:rsidR="00A43313" w:rsidRPr="00297C5C">
        <w:rPr>
          <w:rFonts w:eastAsia="TimesNewRomanPSMT" w:cs="TimesNewRomanPSMT"/>
        </w:rPr>
        <w:t>yužití programu Leader +</w:t>
      </w:r>
      <w:r w:rsidR="00EE2B1D" w:rsidRPr="00297C5C">
        <w:rPr>
          <w:rFonts w:eastAsia="TimesNewRomanPSMT" w:cs="TimesNewRomanPSMT"/>
        </w:rPr>
        <w:t xml:space="preserve"> </w:t>
      </w:r>
      <w:r w:rsidR="00A43313" w:rsidRPr="00297C5C">
        <w:rPr>
          <w:rFonts w:eastAsia="TimesNewRomanPSMT" w:cs="TimesNewRomanPSMT"/>
        </w:rPr>
        <w:t>v mikroregionu Litomyšlsko (dotace 206 tis. Kč)</w:t>
      </w:r>
      <w:r>
        <w:rPr>
          <w:rFonts w:eastAsia="TimesNewRomanPSMT" w:cs="TimesNewRomanPSMT"/>
        </w:rPr>
        <w:t>.</w:t>
      </w:r>
    </w:p>
    <w:p w:rsidR="00A43313" w:rsidRPr="00C974FF" w:rsidRDefault="00C974FF" w:rsidP="00A60AC9">
      <w:pPr>
        <w:pStyle w:val="Odstavecseseznamem"/>
        <w:numPr>
          <w:ilvl w:val="2"/>
          <w:numId w:val="12"/>
        </w:numPr>
        <w:autoSpaceDE w:val="0"/>
        <w:rPr>
          <w:rFonts w:eastAsia="TimesNewRomanPSMT" w:cs="TimesNewRomanPSMT"/>
        </w:rPr>
      </w:pPr>
      <w:r>
        <w:rPr>
          <w:rFonts w:eastAsia="TimesNewRomanPSMT" w:cs="TimesNewRomanPSMT"/>
        </w:rPr>
        <w:t>P</w:t>
      </w:r>
      <w:r w:rsidR="00A43313" w:rsidRPr="00C974FF">
        <w:rPr>
          <w:rFonts w:eastAsia="TimesNewRomanPSMT" w:cs="TimesNewRomanPSMT"/>
        </w:rPr>
        <w:t xml:space="preserve">říprava území mikroregionu Litomyšlsko na možnost čerpání podpory pro rozvojové projekty z programu Leader. Byla </w:t>
      </w:r>
      <w:r>
        <w:rPr>
          <w:rFonts w:eastAsia="TimesNewRomanPSMT" w:cs="TimesNewRomanPSMT"/>
        </w:rPr>
        <w:t>založena</w:t>
      </w:r>
      <w:r w:rsidR="00A43313" w:rsidRPr="00C974FF">
        <w:rPr>
          <w:rFonts w:eastAsia="TimesNewRomanPSMT" w:cs="TimesNewRomanPSMT"/>
        </w:rPr>
        <w:t xml:space="preserve"> MAS Litomyšlsko o.p.s.</w:t>
      </w:r>
      <w:r>
        <w:rPr>
          <w:rFonts w:eastAsia="TimesNewRomanPSMT" w:cs="TimesNewRomanPSMT"/>
        </w:rPr>
        <w:t xml:space="preserve"> a</w:t>
      </w:r>
      <w:r w:rsidR="00A43313" w:rsidRPr="00C974FF">
        <w:rPr>
          <w:rFonts w:eastAsia="TimesNewRomanPSMT" w:cs="TimesNewRomanPSMT"/>
        </w:rPr>
        <w:t xml:space="preserve"> byla zpracována strategie </w:t>
      </w:r>
      <w:r>
        <w:rPr>
          <w:rFonts w:eastAsia="TimesNewRomanPSMT" w:cs="TimesNewRomanPSMT"/>
        </w:rPr>
        <w:t>rozvoje území.</w:t>
      </w:r>
    </w:p>
    <w:p w:rsidR="001D6490" w:rsidRPr="00A43313" w:rsidRDefault="001D6490" w:rsidP="00A43313">
      <w:pPr>
        <w:tabs>
          <w:tab w:val="left" w:pos="720"/>
        </w:tabs>
        <w:autoSpaceDE w:val="0"/>
        <w:rPr>
          <w:rFonts w:eastAsia="TimesNewRomanPSMT" w:cs="TimesNewRomanPSMT"/>
          <w:highlight w:val="yellow"/>
        </w:rPr>
      </w:pPr>
    </w:p>
    <w:p w:rsidR="00A43313" w:rsidRPr="00C2539E" w:rsidRDefault="00C2539E" w:rsidP="00A43313">
      <w:pPr>
        <w:tabs>
          <w:tab w:val="left" w:pos="720"/>
        </w:tabs>
        <w:autoSpaceDE w:val="0"/>
        <w:rPr>
          <w:rFonts w:eastAsia="TimesNewRomanPSMT" w:cs="TimesNewRomanPSMT"/>
          <w:u w:val="single"/>
        </w:rPr>
      </w:pPr>
      <w:r w:rsidRPr="00C2539E">
        <w:rPr>
          <w:rFonts w:eastAsia="TimesNewRomanPSMT" w:cs="TimesNewRomanPSMT"/>
          <w:u w:val="single"/>
        </w:rPr>
        <w:t xml:space="preserve">Granty </w:t>
      </w:r>
      <w:r w:rsidR="00A43313" w:rsidRPr="00C2539E">
        <w:rPr>
          <w:rFonts w:eastAsia="TimesNewRomanPSMT" w:cs="TimesNewRomanPSMT"/>
          <w:bCs/>
          <w:u w:val="single"/>
        </w:rPr>
        <w:t>Pardubického kraje</w:t>
      </w:r>
    </w:p>
    <w:p w:rsidR="00A43313" w:rsidRPr="00D75B21" w:rsidRDefault="00A43313" w:rsidP="00A60AC9">
      <w:pPr>
        <w:pStyle w:val="Odstavecseseznamem"/>
        <w:numPr>
          <w:ilvl w:val="0"/>
          <w:numId w:val="17"/>
        </w:numPr>
        <w:tabs>
          <w:tab w:val="left" w:pos="720"/>
        </w:tabs>
        <w:autoSpaceDE w:val="0"/>
        <w:rPr>
          <w:rFonts w:eastAsia="TimesNewRomanPSMT" w:cs="TimesNewRomanPSMT"/>
        </w:rPr>
      </w:pPr>
      <w:r w:rsidRPr="00D75B21">
        <w:rPr>
          <w:rFonts w:eastAsia="TimesNewRomanPSMT" w:cs="TimesNewRomanPSMT"/>
        </w:rPr>
        <w:t>2003</w:t>
      </w:r>
    </w:p>
    <w:p w:rsidR="00A43313" w:rsidRPr="00D75B21" w:rsidRDefault="00A43313" w:rsidP="00A60AC9">
      <w:pPr>
        <w:pStyle w:val="Odstavecseseznamem"/>
        <w:widowControl w:val="0"/>
        <w:numPr>
          <w:ilvl w:val="2"/>
          <w:numId w:val="17"/>
        </w:numPr>
        <w:autoSpaceDE w:val="0"/>
        <w:rPr>
          <w:rFonts w:eastAsia="TimesNewRomanPSMT" w:cs="TimesNewRomanPSMT"/>
        </w:rPr>
      </w:pPr>
      <w:r w:rsidRPr="00D75B21">
        <w:rPr>
          <w:rFonts w:eastAsia="TimesNewRomanPSMT" w:cs="TimesNewRomanPSMT"/>
        </w:rPr>
        <w:t>propagační materiál mikroregionu Litomyšlsko (grant 35 tis. Kč, rozpočet 60 tis. Kč)</w:t>
      </w:r>
      <w:r w:rsidR="00C2539E" w:rsidRPr="00D75B21">
        <w:rPr>
          <w:rFonts w:eastAsia="TimesNewRomanPSMT" w:cs="TimesNewRomanPSMT"/>
        </w:rPr>
        <w:t xml:space="preserve"> - </w:t>
      </w:r>
      <w:r w:rsidRPr="00D75B21">
        <w:rPr>
          <w:rFonts w:eastAsia="TimesNewRomanPSMT" w:cs="TimesNewRomanPSMT"/>
        </w:rPr>
        <w:t>vydání souhrnného propagačního materiálu mikroregionu Litomyšlsko (náklad 20 000 ks)</w:t>
      </w:r>
    </w:p>
    <w:p w:rsidR="00A43313" w:rsidRPr="00D75B21" w:rsidRDefault="00A43313" w:rsidP="00A60AC9">
      <w:pPr>
        <w:pStyle w:val="Odstavecseseznamem"/>
        <w:widowControl w:val="0"/>
        <w:numPr>
          <w:ilvl w:val="2"/>
          <w:numId w:val="17"/>
        </w:numPr>
        <w:autoSpaceDE w:val="0"/>
        <w:rPr>
          <w:rFonts w:eastAsia="TimesNewRomanPSMT" w:cs="TimesNewRomanPSMT"/>
        </w:rPr>
      </w:pPr>
      <w:r w:rsidRPr="00D75B21">
        <w:rPr>
          <w:rFonts w:eastAsia="TimesNewRomanPSMT" w:cs="TimesNewRomanPSMT"/>
        </w:rPr>
        <w:t>incomingový projekt mikroregionu Litomyšlsko (grant 45 tis. Kč, rozpočet 75 tis. Kč)</w:t>
      </w:r>
      <w:r w:rsidR="00C2539E" w:rsidRPr="00D75B21">
        <w:rPr>
          <w:rFonts w:eastAsia="TimesNewRomanPSMT" w:cs="TimesNewRomanPSMT"/>
        </w:rPr>
        <w:t xml:space="preserve"> - </w:t>
      </w:r>
      <w:r w:rsidRPr="00D75B21">
        <w:rPr>
          <w:rFonts w:eastAsia="TimesNewRomanPSMT" w:cs="TimesNewRomanPSMT"/>
        </w:rPr>
        <w:t>zpracování koncepce incomingu v mikroregionu a návrh jednotlivých incomingových produktů</w:t>
      </w:r>
    </w:p>
    <w:p w:rsidR="00A43313" w:rsidRPr="00D75B21" w:rsidRDefault="00A43313" w:rsidP="00A60AC9">
      <w:pPr>
        <w:pStyle w:val="Odstavecseseznamem"/>
        <w:widowControl w:val="0"/>
        <w:numPr>
          <w:ilvl w:val="2"/>
          <w:numId w:val="17"/>
        </w:numPr>
        <w:autoSpaceDE w:val="0"/>
        <w:rPr>
          <w:rFonts w:eastAsia="TimesNewRomanPSMT" w:cs="TimesNewRomanPSMT"/>
        </w:rPr>
      </w:pPr>
      <w:r w:rsidRPr="00D75B21">
        <w:rPr>
          <w:rFonts w:eastAsia="TimesNewRomanPSMT" w:cs="TimesNewRomanPSMT"/>
        </w:rPr>
        <w:t>společné komunální služby mikroregionu mikroregionu Litomyšlsko (grant 84 tis. Kč, rozpočet 140 tis. Kč)</w:t>
      </w:r>
      <w:r w:rsidR="00C2539E" w:rsidRPr="00D75B21">
        <w:rPr>
          <w:rFonts w:eastAsia="TimesNewRomanPSMT" w:cs="TimesNewRomanPSMT"/>
        </w:rPr>
        <w:t xml:space="preserve"> - </w:t>
      </w:r>
      <w:r w:rsidRPr="00D75B21">
        <w:rPr>
          <w:rFonts w:eastAsia="TimesNewRomanPSMT" w:cs="TimesNewRomanPSMT"/>
        </w:rPr>
        <w:t>zpracování studie proveditelnosti projektu společného nakládání s biologicky rozložitelným odpadem v mikroregionu</w:t>
      </w:r>
    </w:p>
    <w:p w:rsidR="00A43313" w:rsidRPr="00D75B21" w:rsidRDefault="00A43313" w:rsidP="00A60AC9">
      <w:pPr>
        <w:pStyle w:val="Odstavecseseznamem"/>
        <w:numPr>
          <w:ilvl w:val="0"/>
          <w:numId w:val="17"/>
        </w:numPr>
        <w:tabs>
          <w:tab w:val="left" w:pos="720"/>
        </w:tabs>
        <w:autoSpaceDE w:val="0"/>
        <w:rPr>
          <w:rFonts w:eastAsia="TimesNewRomanPSMT" w:cs="TimesNewRomanPSMT"/>
        </w:rPr>
      </w:pPr>
      <w:r w:rsidRPr="00D75B21">
        <w:rPr>
          <w:rFonts w:eastAsia="TimesNewRomanPSMT" w:cs="TimesNewRomanPSMT"/>
        </w:rPr>
        <w:lastRenderedPageBreak/>
        <w:t>2004</w:t>
      </w:r>
    </w:p>
    <w:p w:rsidR="00A43313" w:rsidRPr="00D75B21" w:rsidRDefault="00A43313" w:rsidP="00A60AC9">
      <w:pPr>
        <w:pStyle w:val="Odstavecseseznamem"/>
        <w:widowControl w:val="0"/>
        <w:numPr>
          <w:ilvl w:val="1"/>
          <w:numId w:val="17"/>
        </w:numPr>
        <w:autoSpaceDE w:val="0"/>
        <w:rPr>
          <w:rFonts w:eastAsia="TimesNewRomanPSMT" w:cs="TimesNewRomanPSMT"/>
        </w:rPr>
      </w:pPr>
      <w:r w:rsidRPr="00D75B21">
        <w:rPr>
          <w:rFonts w:eastAsia="TimesNewRomanPSMT" w:cs="TimesNewRomanPSMT"/>
        </w:rPr>
        <w:t>souhrnný propagační materiál mikroregionu Litomyšlsko – Pobyty. Materiál byl vydán v nákladu 3 000 ks v jazykových mutacích AJ, NJ a obsahuje nabídku ucelených produktů cestovního ruchu se zaměřením na vícedenní pobyty v regionu.</w:t>
      </w:r>
    </w:p>
    <w:p w:rsidR="00A43313" w:rsidRPr="00D75B21" w:rsidRDefault="00A43313" w:rsidP="00A60AC9">
      <w:pPr>
        <w:pStyle w:val="Odstavecseseznamem"/>
        <w:numPr>
          <w:ilvl w:val="0"/>
          <w:numId w:val="17"/>
        </w:numPr>
        <w:tabs>
          <w:tab w:val="left" w:pos="720"/>
        </w:tabs>
        <w:autoSpaceDE w:val="0"/>
        <w:rPr>
          <w:rFonts w:eastAsia="TimesNewRomanPSMT" w:cs="TimesNewRomanPSMT"/>
        </w:rPr>
      </w:pPr>
      <w:r w:rsidRPr="00D75B21">
        <w:rPr>
          <w:rFonts w:eastAsia="TimesNewRomanPSMT" w:cs="TimesNewRomanPSMT"/>
        </w:rPr>
        <w:t>2005</w:t>
      </w:r>
    </w:p>
    <w:p w:rsidR="00A43313" w:rsidRPr="00D75B21" w:rsidRDefault="00A43313" w:rsidP="00A60AC9">
      <w:pPr>
        <w:pStyle w:val="Odstavecseseznamem"/>
        <w:numPr>
          <w:ilvl w:val="1"/>
          <w:numId w:val="17"/>
        </w:numPr>
        <w:tabs>
          <w:tab w:val="left" w:pos="720"/>
        </w:tabs>
        <w:autoSpaceDE w:val="0"/>
        <w:rPr>
          <w:rFonts w:eastAsia="TimesNewRomanPSMT" w:cs="TimesNewRomanPSMT"/>
        </w:rPr>
      </w:pPr>
      <w:r w:rsidRPr="00D75B21">
        <w:rPr>
          <w:rFonts w:eastAsia="TimesNewRomanPSMT" w:cs="TimesNewRomanPSMT"/>
        </w:rPr>
        <w:t>zpracování žádosti o podporu z Operačního programu Infrastruktura na projekt „Nakládání s biologicky rozložitelným odpadem v mikroregionu Litomyšlsko“ (grant 53 tis. Kč, rozpočet 70 tis. Kč)</w:t>
      </w:r>
    </w:p>
    <w:p w:rsidR="00A43313" w:rsidRPr="00D75B21" w:rsidRDefault="00A43313" w:rsidP="00A60AC9">
      <w:pPr>
        <w:pStyle w:val="Odstavecseseznamem"/>
        <w:numPr>
          <w:ilvl w:val="1"/>
          <w:numId w:val="17"/>
        </w:numPr>
        <w:tabs>
          <w:tab w:val="left" w:pos="720"/>
        </w:tabs>
        <w:autoSpaceDE w:val="0"/>
        <w:rPr>
          <w:rFonts w:eastAsia="TimesNewRomanPSMT" w:cs="TimesNewRomanPSMT"/>
        </w:rPr>
      </w:pPr>
      <w:r w:rsidRPr="00D75B21">
        <w:rPr>
          <w:rFonts w:eastAsia="TimesNewRomanPSMT" w:cs="TimesNewRomanPSMT"/>
        </w:rPr>
        <w:t>zpracování projektové dokumentace a žádosti z programu SROP na projekt „Centrum sociálních služeb Chotovice“ (grant 135 tis. Kč, rozpočet 181 tis. Kč)</w:t>
      </w:r>
    </w:p>
    <w:p w:rsidR="00A43313" w:rsidRPr="00297C5C" w:rsidRDefault="00A43313" w:rsidP="00A43313">
      <w:pPr>
        <w:tabs>
          <w:tab w:val="left" w:pos="720"/>
        </w:tabs>
        <w:autoSpaceDE w:val="0"/>
        <w:rPr>
          <w:rFonts w:eastAsia="TimesNewRomanPSMT" w:cs="TimesNewRomanPSMT"/>
          <w:bCs/>
          <w:u w:val="single"/>
        </w:rPr>
      </w:pPr>
      <w:r w:rsidRPr="00297C5C">
        <w:rPr>
          <w:rFonts w:eastAsia="TimesNewRomanPSMT" w:cs="TimesNewRomanPSMT"/>
          <w:bCs/>
          <w:u w:val="single"/>
        </w:rPr>
        <w:t xml:space="preserve">Program SAPARD </w:t>
      </w:r>
    </w:p>
    <w:p w:rsidR="00A43313" w:rsidRPr="00C2539E" w:rsidRDefault="00A43313" w:rsidP="00A60AC9">
      <w:pPr>
        <w:pStyle w:val="Odstavecseseznamem"/>
        <w:widowControl w:val="0"/>
        <w:numPr>
          <w:ilvl w:val="0"/>
          <w:numId w:val="16"/>
        </w:numPr>
        <w:autoSpaceDE w:val="0"/>
        <w:rPr>
          <w:rFonts w:eastAsia="TimesNewRomanPSMT" w:cs="TimesNewRomanPSMT"/>
        </w:rPr>
      </w:pPr>
      <w:r w:rsidRPr="00C2539E">
        <w:rPr>
          <w:rFonts w:eastAsia="TimesNewRomanPSMT" w:cs="TimesNewRomanPSMT"/>
        </w:rPr>
        <w:t>V rámci 1. kola programu SAPARD (2002) byl podpořen mikroregionální projekt s názvem „Rozvoj podnikání, občanského života a cestovního ruchu v mikroregionu Litomyšlsko“ s konkrétním podprojektem „Rekonstrukce víceúčelového domu čp. 13 v Poříčí u Litomyšle. Investorem byla obec Poříčí, projekt získal podporu z programu SAPARD ve výši 4,5 mil. Kč.</w:t>
      </w:r>
    </w:p>
    <w:p w:rsidR="00A43313" w:rsidRPr="00C2539E" w:rsidRDefault="00A43313" w:rsidP="00A60AC9">
      <w:pPr>
        <w:pStyle w:val="Odstavecseseznamem"/>
        <w:widowControl w:val="0"/>
        <w:numPr>
          <w:ilvl w:val="0"/>
          <w:numId w:val="16"/>
        </w:numPr>
        <w:autoSpaceDE w:val="0"/>
        <w:rPr>
          <w:lang w:eastAsia="ar-SA"/>
        </w:rPr>
      </w:pPr>
      <w:r w:rsidRPr="00C2539E">
        <w:rPr>
          <w:lang w:eastAsia="ar-SA"/>
        </w:rPr>
        <w:t>Za finančního přispění programu SAPARD vznikly v Proseči kancelářské prostory pro činnost Sdružení obcí Toulovcovy Maštale, informační centrum, turistická ubytovna, kterou rovněž provozuje samo sdružení a v přízemí budovy i „podnikatelský inkubátor“ – nebytové prostory k pronájmu sloužící začínajícím podnikatelům za výhodných finančních podmínek.</w:t>
      </w:r>
    </w:p>
    <w:p w:rsidR="00297C5C" w:rsidRPr="00297C5C" w:rsidRDefault="00297C5C" w:rsidP="00297C5C">
      <w:pPr>
        <w:tabs>
          <w:tab w:val="left" w:pos="1080"/>
        </w:tabs>
        <w:autoSpaceDE w:val="0"/>
        <w:rPr>
          <w:rFonts w:eastAsia="TimesNewRomanPSMT" w:cs="TimesNewRomanPSMT"/>
          <w:bCs/>
          <w:u w:val="single"/>
        </w:rPr>
      </w:pPr>
      <w:r w:rsidRPr="00297C5C">
        <w:rPr>
          <w:rFonts w:eastAsia="TimesNewRomanPSMT" w:cs="TimesNewRomanPSMT"/>
          <w:bCs/>
          <w:u w:val="single"/>
        </w:rPr>
        <w:t>Program MMR č. 217115 Podpora obnovy venkova (2005)</w:t>
      </w:r>
    </w:p>
    <w:p w:rsidR="00297C5C" w:rsidRPr="00297C5C" w:rsidRDefault="00297C5C" w:rsidP="00A60AC9">
      <w:pPr>
        <w:pStyle w:val="Odstavecseseznamem"/>
        <w:numPr>
          <w:ilvl w:val="0"/>
          <w:numId w:val="12"/>
        </w:numPr>
        <w:autoSpaceDE w:val="0"/>
        <w:rPr>
          <w:rFonts w:eastAsia="TimesNewRomanPSMT" w:cs="TimesNewRomanPSMT"/>
        </w:rPr>
      </w:pPr>
      <w:r w:rsidRPr="00297C5C">
        <w:rPr>
          <w:rFonts w:eastAsia="TimesNewRomanPSMT" w:cs="TimesNewRomanPSMT"/>
        </w:rPr>
        <w:t xml:space="preserve">Mateřská centra mikroregionu Litomyšlsko (dotace 154 </w:t>
      </w:r>
      <w:r>
        <w:rPr>
          <w:rFonts w:eastAsia="TimesNewRomanPSMT" w:cs="TimesNewRomanPSMT"/>
        </w:rPr>
        <w:t>tis. Kč, rozpočet 219 tis. Kč) - z</w:t>
      </w:r>
      <w:r w:rsidRPr="00297C5C">
        <w:rPr>
          <w:rFonts w:eastAsia="TimesNewRomanPSMT" w:cs="TimesNewRomanPSMT"/>
        </w:rPr>
        <w:t>pracování dokumentace SROP.</w:t>
      </w:r>
    </w:p>
    <w:p w:rsidR="00297C5C" w:rsidRPr="00297C5C" w:rsidRDefault="00297C5C" w:rsidP="00A60AC9">
      <w:pPr>
        <w:pStyle w:val="Odstavecseseznamem"/>
        <w:numPr>
          <w:ilvl w:val="0"/>
          <w:numId w:val="12"/>
        </w:numPr>
        <w:autoSpaceDE w:val="0"/>
        <w:rPr>
          <w:rFonts w:eastAsia="TimesNewRomanPSMT" w:cs="TimesNewRomanPSMT"/>
        </w:rPr>
      </w:pPr>
      <w:r w:rsidRPr="00297C5C">
        <w:rPr>
          <w:rFonts w:eastAsia="TimesNewRomanPSMT" w:cs="TimesNewRomanPSMT"/>
        </w:rPr>
        <w:t xml:space="preserve">Marketingové služby pro rozvoj cestovního ruchu mikroregionu Litomyšlsko (dotace 100 </w:t>
      </w:r>
      <w:r>
        <w:rPr>
          <w:rFonts w:eastAsia="TimesNewRomanPSMT" w:cs="TimesNewRomanPSMT"/>
        </w:rPr>
        <w:t xml:space="preserve">tis. Kč, rozpočet 143 tis. Kč) - </w:t>
      </w:r>
      <w:r w:rsidRPr="00297C5C">
        <w:rPr>
          <w:rFonts w:eastAsia="TimesNewRomanPSMT" w:cs="TimesNewRomanPSMT"/>
        </w:rPr>
        <w:t>pracování dokumentace SROP.</w:t>
      </w:r>
    </w:p>
    <w:p w:rsidR="00A43313" w:rsidRPr="00297C5C" w:rsidRDefault="00A43313" w:rsidP="00A43313">
      <w:pPr>
        <w:tabs>
          <w:tab w:val="left" w:pos="720"/>
        </w:tabs>
        <w:autoSpaceDE w:val="0"/>
        <w:rPr>
          <w:rFonts w:eastAsia="TimesNewRomanPSMT" w:cs="TimesNewRomanPSMT"/>
          <w:bCs/>
          <w:u w:val="single"/>
        </w:rPr>
      </w:pPr>
      <w:r w:rsidRPr="00297C5C">
        <w:rPr>
          <w:rFonts w:eastAsia="TimesNewRomanPSMT" w:cs="TimesNewRomanPSMT"/>
          <w:bCs/>
          <w:u w:val="single"/>
        </w:rPr>
        <w:lastRenderedPageBreak/>
        <w:t>Program SROP</w:t>
      </w:r>
    </w:p>
    <w:p w:rsidR="00A43313" w:rsidRPr="00B46430" w:rsidRDefault="00A43313" w:rsidP="00A60AC9">
      <w:pPr>
        <w:pStyle w:val="Odstavecseseznamem"/>
        <w:widowControl w:val="0"/>
        <w:numPr>
          <w:ilvl w:val="0"/>
          <w:numId w:val="15"/>
        </w:numPr>
        <w:autoSpaceDE w:val="0"/>
        <w:rPr>
          <w:rFonts w:eastAsia="TimesNewRomanPSMT" w:cs="TimesNewRomanPSMT"/>
        </w:rPr>
      </w:pPr>
      <w:r w:rsidRPr="00B46430">
        <w:rPr>
          <w:rFonts w:eastAsia="TimesNewRomanPSMT" w:cs="TimesNewRomanPSMT"/>
        </w:rPr>
        <w:t xml:space="preserve">„Marketingové služby pro rozvoj cestovního </w:t>
      </w:r>
      <w:r w:rsidR="00B46430">
        <w:rPr>
          <w:rFonts w:eastAsia="TimesNewRomanPSMT" w:cs="TimesNewRomanPSMT"/>
        </w:rPr>
        <w:t xml:space="preserve">ruchu mikroregionu Litomyšlsko“. V </w:t>
      </w:r>
      <w:r w:rsidRPr="00B46430">
        <w:rPr>
          <w:rFonts w:eastAsia="TimesNewRomanPSMT" w:cs="TimesNewRomanPSMT"/>
        </w:rPr>
        <w:t xml:space="preserve">jeho rámci </w:t>
      </w:r>
      <w:r w:rsidR="00B46430">
        <w:rPr>
          <w:rFonts w:eastAsia="TimesNewRomanPSMT" w:cs="TimesNewRomanPSMT"/>
        </w:rPr>
        <w:t>byly</w:t>
      </w:r>
      <w:r w:rsidRPr="00B46430">
        <w:rPr>
          <w:rFonts w:eastAsia="TimesNewRomanPSMT" w:cs="TimesNewRomanPSMT"/>
        </w:rPr>
        <w:t xml:space="preserve"> vydávány propagační materiály a publikace, </w:t>
      </w:r>
      <w:r w:rsidR="00B46430">
        <w:rPr>
          <w:rFonts w:eastAsia="TimesNewRomanPSMT" w:cs="TimesNewRomanPSMT"/>
        </w:rPr>
        <w:t>byl zkvalitně</w:t>
      </w:r>
      <w:r w:rsidRPr="00B46430">
        <w:rPr>
          <w:rFonts w:eastAsia="TimesNewRomanPSMT" w:cs="TimesNewRomanPSMT"/>
        </w:rPr>
        <w:t>n informační systém zámku Litomyšl, apod. (dotace 1 492</w:t>
      </w:r>
      <w:r w:rsidR="00624CCF">
        <w:rPr>
          <w:rFonts w:eastAsia="TimesNewRomanPSMT" w:cs="TimesNewRomanPSMT"/>
        </w:rPr>
        <w:t>,5 tis. Kč, rozpočet 2 158 tis.</w:t>
      </w:r>
      <w:r w:rsidRPr="00B46430">
        <w:rPr>
          <w:rFonts w:eastAsia="TimesNewRomanPSMT" w:cs="TimesNewRomanPSMT"/>
        </w:rPr>
        <w:t xml:space="preserve"> Kč).</w:t>
      </w:r>
    </w:p>
    <w:p w:rsidR="00A43313" w:rsidRPr="00B46430" w:rsidRDefault="00A43313" w:rsidP="00A60AC9">
      <w:pPr>
        <w:pStyle w:val="Odstavecseseznamem"/>
        <w:widowControl w:val="0"/>
        <w:numPr>
          <w:ilvl w:val="0"/>
          <w:numId w:val="15"/>
        </w:numPr>
        <w:autoSpaceDE w:val="0"/>
        <w:rPr>
          <w:rFonts w:eastAsia="TimesNewRomanPSMT" w:cs="TimesNewRomanPSMT"/>
        </w:rPr>
      </w:pPr>
      <w:r w:rsidRPr="00B46430">
        <w:rPr>
          <w:rFonts w:eastAsia="TimesNewRomanPSMT" w:cs="TimesNewRomanPSMT"/>
        </w:rPr>
        <w:t>„Centrum sociálních služeb v Chotovicích“. Rekonstrukce objektu pro vybudování centra služeb, investor Farní Charita Nové Hrady (dotace EU</w:t>
      </w:r>
      <w:r w:rsidR="00624CCF">
        <w:rPr>
          <w:rFonts w:eastAsia="TimesNewRomanPSMT" w:cs="TimesNewRomanPSMT"/>
        </w:rPr>
        <w:t xml:space="preserve"> 8 448 tis.</w:t>
      </w:r>
      <w:r w:rsidRPr="00B46430">
        <w:rPr>
          <w:rFonts w:eastAsia="TimesNewRomanPSMT" w:cs="TimesNewRomanPSMT"/>
        </w:rPr>
        <w:t xml:space="preserve"> Kč, Pardubický kraj 400 tis. Kč, vlastní zdroje 773,5 tis. Kč).</w:t>
      </w:r>
    </w:p>
    <w:p w:rsidR="00A43313" w:rsidRPr="00B46430" w:rsidRDefault="00A43313" w:rsidP="00A60AC9">
      <w:pPr>
        <w:pStyle w:val="Odstavecseseznamem"/>
        <w:widowControl w:val="0"/>
        <w:numPr>
          <w:ilvl w:val="0"/>
          <w:numId w:val="15"/>
        </w:numPr>
        <w:autoSpaceDE w:val="0"/>
        <w:rPr>
          <w:rFonts w:eastAsia="TimesNewRomanPSMT" w:cs="TimesNewRomanPSMT"/>
        </w:rPr>
      </w:pPr>
      <w:r w:rsidRPr="00B46430">
        <w:rPr>
          <w:rFonts w:eastAsia="TimesNewRomanPSMT" w:cs="TimesNewRomanPSMT"/>
        </w:rPr>
        <w:t>Rekonstrukce Zámeckého pivovaru v</w:t>
      </w:r>
      <w:r w:rsidR="00624CCF">
        <w:rPr>
          <w:rFonts w:eastAsia="TimesNewRomanPSMT" w:cs="TimesNewRomanPSMT"/>
        </w:rPr>
        <w:t xml:space="preserve"> Litomyšli (dotace EU 28 213 tis. Kč, kraj 3 762 tis.</w:t>
      </w:r>
      <w:r w:rsidRPr="00B46430">
        <w:rPr>
          <w:rFonts w:eastAsia="TimesNewRomanPSMT" w:cs="TimesNewRomanPSMT"/>
        </w:rPr>
        <w:t xml:space="preserve"> Kč, město 7 230 tis. Kč). Předmětem projektu byla obnova Zámeckého pivovaru (součásti areálu UNESCO) a jeho využití jako kongresového centra a centra pro kulturní aktivity a potkávání mladých lidí z Evropy. Investor město Litomyšl.</w:t>
      </w:r>
    </w:p>
    <w:p w:rsidR="00A43313" w:rsidRPr="00B46430" w:rsidRDefault="00A43313" w:rsidP="00A60AC9">
      <w:pPr>
        <w:pStyle w:val="Odstavecseseznamem"/>
        <w:widowControl w:val="0"/>
        <w:numPr>
          <w:ilvl w:val="0"/>
          <w:numId w:val="15"/>
        </w:numPr>
        <w:autoSpaceDE w:val="0"/>
        <w:rPr>
          <w:rFonts w:eastAsia="TimesNewRomanPSMT" w:cs="TimesNewRomanPSMT"/>
        </w:rPr>
      </w:pPr>
      <w:r w:rsidRPr="00B46430">
        <w:rPr>
          <w:rFonts w:eastAsia="TimesNewRomanPSMT" w:cs="TimesNewRomanPSMT"/>
        </w:rPr>
        <w:t>„Provozní objekt firmy Stavební sdružení Boštík s.r.o.“ (dotace EU 1 209 tis. Kč, kraj 449,1 tis. Kč, celkové náklady 4 189,6 tis. Kč. Rekonstrukce provozních objektů firmy. Investor Stavební sdružení Boštík s.r.o.</w:t>
      </w:r>
    </w:p>
    <w:p w:rsidR="00A43313" w:rsidRPr="00B46430" w:rsidRDefault="00A43313" w:rsidP="00A60AC9">
      <w:pPr>
        <w:pStyle w:val="Odstavecseseznamem"/>
        <w:widowControl w:val="0"/>
        <w:numPr>
          <w:ilvl w:val="0"/>
          <w:numId w:val="15"/>
        </w:numPr>
        <w:autoSpaceDE w:val="0"/>
        <w:rPr>
          <w:lang w:eastAsia="ar-SA"/>
        </w:rPr>
      </w:pPr>
      <w:r w:rsidRPr="00B46430">
        <w:rPr>
          <w:lang w:eastAsia="ar-SA"/>
        </w:rPr>
        <w:t>Systém značení k turistickým cílům v mikroregionu Toulovcovy Maštale, v jehož rámci b</w:t>
      </w:r>
      <w:r w:rsidR="00C2539E">
        <w:rPr>
          <w:lang w:eastAsia="ar-SA"/>
        </w:rPr>
        <w:t>yly</w:t>
      </w:r>
      <w:r w:rsidRPr="00B46430">
        <w:rPr>
          <w:lang w:eastAsia="ar-SA"/>
        </w:rPr>
        <w:t xml:space="preserve"> všechny turistické cíle označeny směrovkami pro lepší orientaci turistů. </w:t>
      </w:r>
    </w:p>
    <w:p w:rsidR="00A43313" w:rsidRPr="00297C5C" w:rsidRDefault="00A43313" w:rsidP="00A43313">
      <w:pPr>
        <w:tabs>
          <w:tab w:val="left" w:pos="720"/>
        </w:tabs>
        <w:autoSpaceDE w:val="0"/>
        <w:rPr>
          <w:rFonts w:eastAsia="TimesNewRomanPSMT" w:cs="TimesNewRomanPSMT"/>
          <w:bCs/>
          <w:u w:val="single"/>
        </w:rPr>
      </w:pPr>
      <w:r w:rsidRPr="00297C5C">
        <w:rPr>
          <w:rFonts w:eastAsia="TimesNewRomanPSMT" w:cs="TimesNewRomanPSMT"/>
          <w:bCs/>
          <w:u w:val="single"/>
        </w:rPr>
        <w:t>Operační program Infrastruktura</w:t>
      </w:r>
    </w:p>
    <w:p w:rsidR="00A43313" w:rsidRPr="00B46430" w:rsidRDefault="00A43313" w:rsidP="00A60AC9">
      <w:pPr>
        <w:pStyle w:val="Odstavecseseznamem"/>
        <w:widowControl w:val="0"/>
        <w:numPr>
          <w:ilvl w:val="0"/>
          <w:numId w:val="14"/>
        </w:numPr>
        <w:autoSpaceDE w:val="0"/>
        <w:rPr>
          <w:rFonts w:eastAsia="TimesNewRomanPSMT" w:cs="TimesNewRomanPSMT"/>
        </w:rPr>
      </w:pPr>
      <w:r w:rsidRPr="00B46430">
        <w:rPr>
          <w:rFonts w:eastAsia="TimesNewRomanPSMT" w:cs="TimesNewRomanPSMT"/>
        </w:rPr>
        <w:t>„Nakládání s biologicky rozložitelným komunálním odpadem v mikroregionu Litomyšlsko“ (rozpočet: dotace EU 4 811,8 tis. Kč, SFŽP 641,6 tis. Kč, Pardubický kraj 500 tis. Kč, celkové náklady 6 415,7</w:t>
      </w:r>
      <w:r w:rsidR="00B46430" w:rsidRPr="00B46430">
        <w:rPr>
          <w:rFonts w:eastAsia="TimesNewRomanPSMT" w:cs="TimesNewRomanPSMT"/>
        </w:rPr>
        <w:t xml:space="preserve"> tis. Kč). Předmětem projektu byl</w:t>
      </w:r>
      <w:r w:rsidRPr="00B46430">
        <w:rPr>
          <w:rFonts w:eastAsia="TimesNewRomanPSMT" w:cs="TimesNewRomanPSMT"/>
        </w:rPr>
        <w:t xml:space="preserve"> nákup 27 kontejnerů pro 18 obcí mikroregionu, nákup svozového vozu a štěpkovače a vybudování zpevněné plochy pro kompostování. Investorem projektu je mikroregion Litomyšlsko.</w:t>
      </w:r>
    </w:p>
    <w:p w:rsidR="00A43313" w:rsidRPr="00297C5C" w:rsidRDefault="00A43313" w:rsidP="00A43313">
      <w:pPr>
        <w:tabs>
          <w:tab w:val="left" w:pos="720"/>
        </w:tabs>
        <w:autoSpaceDE w:val="0"/>
        <w:rPr>
          <w:bCs/>
          <w:u w:val="single"/>
          <w:lang w:eastAsia="ar-SA"/>
        </w:rPr>
      </w:pPr>
      <w:r w:rsidRPr="00297C5C">
        <w:rPr>
          <w:bCs/>
          <w:u w:val="single"/>
          <w:lang w:eastAsia="ar-SA"/>
        </w:rPr>
        <w:t>INTERREG IIIA ČR–Polsko</w:t>
      </w:r>
    </w:p>
    <w:p w:rsidR="00A43313" w:rsidRPr="00B46430" w:rsidRDefault="00A43313" w:rsidP="00A60AC9">
      <w:pPr>
        <w:pStyle w:val="Odstavecseseznamem"/>
        <w:widowControl w:val="0"/>
        <w:numPr>
          <w:ilvl w:val="0"/>
          <w:numId w:val="13"/>
        </w:numPr>
        <w:autoSpaceDE w:val="0"/>
        <w:rPr>
          <w:lang w:eastAsia="ar-SA"/>
        </w:rPr>
      </w:pPr>
      <w:r w:rsidRPr="00B46430">
        <w:rPr>
          <w:lang w:eastAsia="ar-SA"/>
        </w:rPr>
        <w:t xml:space="preserve">V rámci projektu INTERREG IIIA ČR–Polsko Sdružení obcí Toulovcovy Maštale uspořádalo v loňském roce společný Česko-polský cyklistický závod jako projekt přeshraniční spolupráce na pomezí Čech, Moravy a Kladska. Polská část závodu </w:t>
      </w:r>
      <w:r w:rsidRPr="00B46430">
        <w:rPr>
          <w:lang w:eastAsia="ar-SA"/>
        </w:rPr>
        <w:lastRenderedPageBreak/>
        <w:t>se uskutečnila 23.7. v Klodzku za účasti českých cyklistů, v našem regionu proběhl závod s účastí polských závodníků 12.8.</w:t>
      </w:r>
    </w:p>
    <w:p w:rsidR="00A43313" w:rsidRPr="00297C5C" w:rsidRDefault="00A43313" w:rsidP="00A43313">
      <w:pPr>
        <w:tabs>
          <w:tab w:val="left" w:pos="720"/>
        </w:tabs>
        <w:autoSpaceDE w:val="0"/>
        <w:rPr>
          <w:bCs/>
          <w:u w:val="single"/>
          <w:lang w:eastAsia="ar-SA"/>
        </w:rPr>
      </w:pPr>
      <w:r w:rsidRPr="00297C5C">
        <w:rPr>
          <w:bCs/>
          <w:u w:val="single"/>
          <w:lang w:eastAsia="ar-SA"/>
        </w:rPr>
        <w:t>Operační program Rozvoj lidských zdrojů</w:t>
      </w:r>
    </w:p>
    <w:p w:rsidR="00A43313" w:rsidRPr="00297C5C" w:rsidRDefault="00A43313" w:rsidP="00297C5C">
      <w:pPr>
        <w:widowControl w:val="0"/>
        <w:autoSpaceDE w:val="0"/>
        <w:spacing w:after="280"/>
        <w:ind w:left="720"/>
        <w:rPr>
          <w:rFonts w:cs="Arial"/>
          <w:lang w:eastAsia="ar-SA"/>
        </w:rPr>
      </w:pPr>
      <w:r w:rsidRPr="00297C5C">
        <w:rPr>
          <w:lang w:eastAsia="ar-SA"/>
        </w:rPr>
        <w:t>V rámci podpory zaměstnanosti byl zrealizován projekt Vytváření nových pracovních míst v mikroregionu. Záměrem projektu bylo vytvoření 14 pracovních míst pro osoby</w:t>
      </w:r>
      <w:r w:rsidRPr="00297C5C">
        <w:rPr>
          <w:rFonts w:ascii="Arial" w:hAnsi="Arial" w:cs="Arial"/>
          <w:b/>
          <w:bCs/>
          <w:szCs w:val="22"/>
          <w:lang w:eastAsia="ar-SA"/>
        </w:rPr>
        <w:t xml:space="preserve"> </w:t>
      </w:r>
      <w:r w:rsidRPr="00297C5C">
        <w:rPr>
          <w:rFonts w:cs="Arial"/>
          <w:lang w:eastAsia="ar-SA"/>
        </w:rPr>
        <w:t>dlouhodobě nezaměstnané a osoby ohrože</w:t>
      </w:r>
      <w:r w:rsidR="00297C5C" w:rsidRPr="00297C5C">
        <w:rPr>
          <w:rFonts w:cs="Arial"/>
          <w:lang w:eastAsia="ar-SA"/>
        </w:rPr>
        <w:t>né dlouhodobou nezaměstnaností.</w:t>
      </w:r>
    </w:p>
    <w:p w:rsidR="000B1C97" w:rsidRPr="003B46E3" w:rsidRDefault="000B1C97" w:rsidP="000B1C97">
      <w:pPr>
        <w:pStyle w:val="Nadpis3"/>
        <w:rPr>
          <w:rFonts w:eastAsia="SymbolMT"/>
        </w:rPr>
      </w:pPr>
      <w:bookmarkStart w:id="9" w:name="_Toc430006483"/>
      <w:r w:rsidRPr="003B46E3">
        <w:rPr>
          <w:rFonts w:eastAsia="SymbolMT"/>
        </w:rPr>
        <w:t>Historie a zkušenosti MAS Litomyšlsko o.p.s.</w:t>
      </w:r>
      <w:bookmarkEnd w:id="9"/>
    </w:p>
    <w:p w:rsidR="00DA060F" w:rsidRPr="00DA060F" w:rsidRDefault="000B1C97" w:rsidP="00DA060F">
      <w:r>
        <w:t>Tato kapitola popisuje už zkušenosti samotného subjektu MAS Litomyšlsko o.p.s., jejíž vznik přibližně koresponduje také se zahájením programového období 2007 – 2013. Hlavním cílem byl samozřejmě rozvoj regionu, k čemuž bylo využíváno nejen dotací a grantů, ale také vlastních zdrojů nebo zdrojů regionálních subjektů zainteresovaných do konkrétních projektů.</w:t>
      </w:r>
    </w:p>
    <w:p w:rsidR="00A43313" w:rsidRDefault="00DA060F" w:rsidP="00D75B21">
      <w:pPr>
        <w:pStyle w:val="Nadpis4"/>
        <w:rPr>
          <w:rFonts w:eastAsia="TimesNewRomanPSMT"/>
        </w:rPr>
      </w:pPr>
      <w:r w:rsidRPr="00DA060F">
        <w:rPr>
          <w:rFonts w:eastAsia="TimesNewRomanPSMT"/>
        </w:rPr>
        <w:t>SPL 2007 – 2013</w:t>
      </w:r>
      <w:r>
        <w:rPr>
          <w:rFonts w:eastAsia="TimesNewRomanPSMT"/>
        </w:rPr>
        <w:t xml:space="preserve"> (PRV osa IV LEADER)</w:t>
      </w:r>
      <w:r w:rsidR="00EA5F74">
        <w:rPr>
          <w:rStyle w:val="Znakapoznpodarou"/>
          <w:rFonts w:eastAsia="TimesNewRomanPSMT"/>
        </w:rPr>
        <w:footnoteReference w:id="9"/>
      </w:r>
    </w:p>
    <w:p w:rsidR="009D3B3F" w:rsidRDefault="009D3B3F" w:rsidP="009D3B3F">
      <w:pPr>
        <w:rPr>
          <w:rFonts w:eastAsia="TimesNewRomanPSMT"/>
        </w:rPr>
      </w:pPr>
      <w:r>
        <w:rPr>
          <w:rFonts w:eastAsia="TimesNewRomanPSMT"/>
        </w:rPr>
        <w:t xml:space="preserve">MAS Litomyšlsko o.p.s. </w:t>
      </w:r>
      <w:r w:rsidR="00E5227E">
        <w:rPr>
          <w:rFonts w:eastAsia="TimesNewRomanPSMT"/>
        </w:rPr>
        <w:t>v roce 2008 uspěla s</w:t>
      </w:r>
      <w:r>
        <w:rPr>
          <w:rFonts w:eastAsia="TimesNewRomanPSMT"/>
        </w:rPr>
        <w:t xml:space="preserve"> žádostí o podporu realizace Strategického plánu LEADER (SPL) s názvem „</w:t>
      </w:r>
      <w:r>
        <w:t>Trvale udržitelný život v regionu v návaznosti na město Litomyšl</w:t>
      </w:r>
      <w:r>
        <w:rPr>
          <w:rFonts w:eastAsia="TimesNewRomanPSMT"/>
        </w:rPr>
        <w:t>“ v 8. Výzvě k podávání žádostí na Ministerstva zemědělství ČR (po neúspěchu žádosti v 7. kole).</w:t>
      </w:r>
    </w:p>
    <w:p w:rsidR="009D3B3F" w:rsidRPr="009D3B3F" w:rsidRDefault="009D3B3F" w:rsidP="009D3B3F">
      <w:pPr>
        <w:rPr>
          <w:rFonts w:eastAsia="TimesNewRomanPSMT"/>
        </w:rPr>
      </w:pPr>
      <w:r>
        <w:rPr>
          <w:rFonts w:eastAsia="TimesNewRomanPSMT"/>
        </w:rPr>
        <w:t xml:space="preserve">Díky této podpoře bylo </w:t>
      </w:r>
      <w:r w:rsidR="00C7466B">
        <w:rPr>
          <w:rFonts w:eastAsia="TimesNewRomanPSMT"/>
        </w:rPr>
        <w:t>v regionu realizováno celkem 59 projektů přispívajících k rozvoji regionu (některé z nich byly v době vzniku tohoto dokumentu teprve ve realizaci).</w:t>
      </w:r>
    </w:p>
    <w:p w:rsidR="008544C5" w:rsidRPr="00C7466B" w:rsidRDefault="00C7466B" w:rsidP="00A43313">
      <w:pPr>
        <w:autoSpaceDE w:val="0"/>
        <w:rPr>
          <w:rFonts w:eastAsia="TimesNewRomanPSMT" w:cs="TimesNewRomanPSMT"/>
        </w:rPr>
      </w:pPr>
      <w:r>
        <w:rPr>
          <w:rFonts w:eastAsia="TimesNewRomanPSMT" w:cs="TimesNewRomanPSMT"/>
        </w:rPr>
        <w:t>MAS Litomyšlsko o.p.s. ve spolupráci s regionální komunitou stanovila 5 oblastí, ve kterých bylo možné projekty podpořit. Následně vypisovala výzvy k příjmu žádostí o podporu a prováděla výběr projektů vlastními, k tomu určenými orgány.</w:t>
      </w:r>
    </w:p>
    <w:p w:rsidR="00EE0928" w:rsidRPr="00627AA0" w:rsidRDefault="00EE0928" w:rsidP="00EE0928">
      <w:pPr>
        <w:autoSpaceDE w:val="0"/>
        <w:ind w:left="709"/>
      </w:pPr>
      <w:r w:rsidRPr="00627AA0">
        <w:rPr>
          <w:b/>
          <w:bCs/>
        </w:rPr>
        <w:t>Fiche číslo 1</w:t>
      </w:r>
      <w:r>
        <w:t xml:space="preserve">: </w:t>
      </w:r>
      <w:r w:rsidRPr="00627AA0">
        <w:t xml:space="preserve">Diverzifikace činností nezemědělské </w:t>
      </w:r>
      <w:r>
        <w:t>povahy.</w:t>
      </w:r>
    </w:p>
    <w:p w:rsidR="00EE0928" w:rsidRPr="00627AA0" w:rsidRDefault="00EE0928" w:rsidP="00EE0928">
      <w:pPr>
        <w:autoSpaceDE w:val="0"/>
        <w:ind w:left="709"/>
      </w:pPr>
      <w:r w:rsidRPr="00627AA0">
        <w:rPr>
          <w:b/>
          <w:bCs/>
        </w:rPr>
        <w:t>Fiche číslo 2</w:t>
      </w:r>
      <w:r>
        <w:t>:</w:t>
      </w:r>
      <w:r w:rsidRPr="00627AA0">
        <w:t xml:space="preserve"> Občanské vybavení a </w:t>
      </w:r>
      <w:r>
        <w:t>služby.</w:t>
      </w:r>
    </w:p>
    <w:p w:rsidR="00EE0928" w:rsidRPr="00627AA0" w:rsidRDefault="00EE0928" w:rsidP="00EE0928">
      <w:pPr>
        <w:autoSpaceDE w:val="0"/>
        <w:ind w:left="709"/>
      </w:pPr>
      <w:r w:rsidRPr="00627AA0">
        <w:rPr>
          <w:b/>
          <w:bCs/>
        </w:rPr>
        <w:t>Fiche číslo 3</w:t>
      </w:r>
      <w:r>
        <w:t xml:space="preserve">: </w:t>
      </w:r>
      <w:r w:rsidRPr="00627AA0">
        <w:t>Obnova a rozvoj vesni</w:t>
      </w:r>
      <w:r>
        <w:t>c.</w:t>
      </w:r>
    </w:p>
    <w:p w:rsidR="00EE0928" w:rsidRPr="00627AA0" w:rsidRDefault="00EE0928" w:rsidP="00EE0928">
      <w:pPr>
        <w:autoSpaceDE w:val="0"/>
        <w:ind w:left="709"/>
      </w:pPr>
      <w:r w:rsidRPr="00627AA0">
        <w:rPr>
          <w:b/>
          <w:bCs/>
        </w:rPr>
        <w:lastRenderedPageBreak/>
        <w:t>Fiche číslo 4</w:t>
      </w:r>
      <w:r>
        <w:t xml:space="preserve">: </w:t>
      </w:r>
      <w:r w:rsidRPr="00627AA0">
        <w:t>Podpora cestovního</w:t>
      </w:r>
      <w:r>
        <w:t xml:space="preserve"> ruchu.</w:t>
      </w:r>
    </w:p>
    <w:p w:rsidR="00EE0928" w:rsidRPr="00627AA0" w:rsidRDefault="00EE0928" w:rsidP="00EE0928">
      <w:pPr>
        <w:autoSpaceDE w:val="0"/>
        <w:ind w:left="709"/>
      </w:pPr>
      <w:r w:rsidRPr="00627AA0">
        <w:rPr>
          <w:b/>
          <w:bCs/>
        </w:rPr>
        <w:t>Fiche číslo 5</w:t>
      </w:r>
      <w:r>
        <w:t xml:space="preserve">: </w:t>
      </w:r>
      <w:r w:rsidRPr="00627AA0">
        <w:t>Podpora zakládání podniků a jejich r</w:t>
      </w:r>
      <w:r>
        <w:t>ozvoje.</w:t>
      </w:r>
    </w:p>
    <w:p w:rsidR="008544C5" w:rsidRPr="00C7466B" w:rsidRDefault="008544C5" w:rsidP="00A43313">
      <w:pPr>
        <w:autoSpaceDE w:val="0"/>
        <w:rPr>
          <w:rFonts w:eastAsia="TimesNewRomanPSMT" w:cs="TimesNewRomanPSMT"/>
        </w:rPr>
      </w:pPr>
    </w:p>
    <w:tbl>
      <w:tblPr>
        <w:tblW w:w="6660" w:type="dxa"/>
        <w:tblInd w:w="53" w:type="dxa"/>
        <w:tblCellMar>
          <w:left w:w="70" w:type="dxa"/>
          <w:right w:w="70" w:type="dxa"/>
        </w:tblCellMar>
        <w:tblLook w:val="04A0"/>
      </w:tblPr>
      <w:tblGrid>
        <w:gridCol w:w="960"/>
        <w:gridCol w:w="1360"/>
        <w:gridCol w:w="2560"/>
        <w:gridCol w:w="1780"/>
      </w:tblGrid>
      <w:tr w:rsidR="00EE0928" w:rsidRPr="00EE0928" w:rsidTr="00EE0928">
        <w:trPr>
          <w:trHeight w:val="300"/>
        </w:trPr>
        <w:tc>
          <w:tcPr>
            <w:tcW w:w="960" w:type="dxa"/>
            <w:tcBorders>
              <w:top w:val="nil"/>
              <w:left w:val="nil"/>
              <w:bottom w:val="nil"/>
              <w:right w:val="nil"/>
            </w:tcBorders>
            <w:shd w:val="clear" w:color="000000" w:fill="17375D"/>
            <w:noWrap/>
            <w:vAlign w:val="center"/>
            <w:hideMark/>
          </w:tcPr>
          <w:p w:rsidR="00EE0928" w:rsidRPr="00EE0928" w:rsidRDefault="00EE0928" w:rsidP="00EE0928">
            <w:pPr>
              <w:suppressAutoHyphens w:val="0"/>
              <w:spacing w:after="0"/>
              <w:jc w:val="left"/>
              <w:rPr>
                <w:rFonts w:ascii="Arial" w:hAnsi="Arial" w:cs="Arial"/>
                <w:b/>
                <w:bCs/>
                <w:color w:val="FFFFFF"/>
                <w:sz w:val="18"/>
                <w:szCs w:val="18"/>
                <w:lang w:eastAsia="cs-CZ"/>
              </w:rPr>
            </w:pPr>
            <w:r w:rsidRPr="00EE0928">
              <w:rPr>
                <w:rFonts w:ascii="Arial" w:eastAsia="Calibri" w:hAnsi="Arial" w:cs="Arial"/>
                <w:b/>
                <w:bCs/>
                <w:color w:val="FFFFFF" w:themeColor="background1"/>
                <w:sz w:val="18"/>
                <w:szCs w:val="18"/>
                <w:lang w:eastAsia="cs-CZ"/>
              </w:rPr>
              <w:t>Číslo Fiche</w:t>
            </w:r>
          </w:p>
        </w:tc>
        <w:tc>
          <w:tcPr>
            <w:tcW w:w="1360" w:type="dxa"/>
            <w:tcBorders>
              <w:top w:val="nil"/>
              <w:left w:val="nil"/>
              <w:bottom w:val="nil"/>
              <w:right w:val="nil"/>
            </w:tcBorders>
            <w:shd w:val="clear" w:color="000000" w:fill="17375D"/>
            <w:noWrap/>
            <w:vAlign w:val="center"/>
            <w:hideMark/>
          </w:tcPr>
          <w:p w:rsidR="00EE0928" w:rsidRPr="00EE0928" w:rsidRDefault="00EE0928" w:rsidP="00EE0928">
            <w:pPr>
              <w:suppressAutoHyphens w:val="0"/>
              <w:spacing w:after="0"/>
              <w:jc w:val="left"/>
              <w:rPr>
                <w:rFonts w:ascii="Arial" w:hAnsi="Arial" w:cs="Arial"/>
                <w:b/>
                <w:bCs/>
                <w:color w:val="FFFFFF"/>
                <w:sz w:val="18"/>
                <w:szCs w:val="18"/>
                <w:lang w:eastAsia="cs-CZ"/>
              </w:rPr>
            </w:pPr>
            <w:r w:rsidRPr="00EE0928">
              <w:rPr>
                <w:rFonts w:ascii="Arial" w:eastAsia="Calibri" w:hAnsi="Arial" w:cs="Arial"/>
                <w:b/>
                <w:bCs/>
                <w:color w:val="FFFFFF" w:themeColor="background1"/>
                <w:sz w:val="18"/>
                <w:szCs w:val="18"/>
                <w:lang w:eastAsia="cs-CZ"/>
              </w:rPr>
              <w:t>Počet výzev</w:t>
            </w:r>
          </w:p>
        </w:tc>
        <w:tc>
          <w:tcPr>
            <w:tcW w:w="2560" w:type="dxa"/>
            <w:tcBorders>
              <w:top w:val="nil"/>
              <w:left w:val="nil"/>
              <w:bottom w:val="nil"/>
              <w:right w:val="nil"/>
            </w:tcBorders>
            <w:shd w:val="clear" w:color="000000" w:fill="17375D"/>
            <w:noWrap/>
            <w:vAlign w:val="center"/>
            <w:hideMark/>
          </w:tcPr>
          <w:p w:rsidR="00EE0928" w:rsidRPr="00EE0928" w:rsidRDefault="00EE0928" w:rsidP="00EE0928">
            <w:pPr>
              <w:suppressAutoHyphens w:val="0"/>
              <w:spacing w:after="0"/>
              <w:jc w:val="left"/>
              <w:rPr>
                <w:rFonts w:ascii="Arial" w:hAnsi="Arial" w:cs="Arial"/>
                <w:b/>
                <w:bCs/>
                <w:color w:val="FFFFFF"/>
                <w:sz w:val="18"/>
                <w:szCs w:val="18"/>
                <w:lang w:eastAsia="cs-CZ"/>
              </w:rPr>
            </w:pPr>
            <w:r w:rsidRPr="00EE0928">
              <w:rPr>
                <w:rFonts w:ascii="Arial" w:eastAsia="Calibri" w:hAnsi="Arial" w:cs="Arial"/>
                <w:b/>
                <w:bCs/>
                <w:color w:val="FFFFFF" w:themeColor="background1"/>
                <w:sz w:val="18"/>
                <w:szCs w:val="18"/>
                <w:lang w:eastAsia="cs-CZ"/>
              </w:rPr>
              <w:t>Počet podpořených projektů</w:t>
            </w:r>
          </w:p>
        </w:tc>
        <w:tc>
          <w:tcPr>
            <w:tcW w:w="1780" w:type="dxa"/>
            <w:tcBorders>
              <w:top w:val="nil"/>
              <w:left w:val="nil"/>
              <w:bottom w:val="nil"/>
              <w:right w:val="nil"/>
            </w:tcBorders>
            <w:shd w:val="clear" w:color="000000" w:fill="17375D"/>
            <w:noWrap/>
            <w:vAlign w:val="center"/>
            <w:hideMark/>
          </w:tcPr>
          <w:p w:rsidR="00EE0928" w:rsidRPr="00EE0928" w:rsidRDefault="00EE0928" w:rsidP="00EE0928">
            <w:pPr>
              <w:suppressAutoHyphens w:val="0"/>
              <w:spacing w:after="0"/>
              <w:jc w:val="left"/>
              <w:rPr>
                <w:rFonts w:ascii="Arial" w:hAnsi="Arial" w:cs="Arial"/>
                <w:b/>
                <w:bCs/>
                <w:color w:val="FFFFFF"/>
                <w:sz w:val="18"/>
                <w:szCs w:val="18"/>
                <w:lang w:eastAsia="cs-CZ"/>
              </w:rPr>
            </w:pPr>
            <w:r w:rsidRPr="00EE0928">
              <w:rPr>
                <w:rFonts w:ascii="Arial" w:eastAsia="Calibri" w:hAnsi="Arial" w:cs="Arial"/>
                <w:b/>
                <w:bCs/>
                <w:color w:val="FFFFFF" w:themeColor="background1"/>
                <w:sz w:val="18"/>
                <w:szCs w:val="18"/>
                <w:lang w:eastAsia="cs-CZ"/>
              </w:rPr>
              <w:t>Celková výše dotace</w:t>
            </w:r>
          </w:p>
        </w:tc>
      </w:tr>
      <w:tr w:rsidR="00EE0928" w:rsidRPr="00EE0928" w:rsidTr="00EE0928">
        <w:trPr>
          <w:trHeight w:val="300"/>
        </w:trPr>
        <w:tc>
          <w:tcPr>
            <w:tcW w:w="9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1</w:t>
            </w:r>
          </w:p>
        </w:tc>
        <w:tc>
          <w:tcPr>
            <w:tcW w:w="13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5x</w:t>
            </w:r>
          </w:p>
        </w:tc>
        <w:tc>
          <w:tcPr>
            <w:tcW w:w="25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2x</w:t>
            </w:r>
          </w:p>
        </w:tc>
        <w:tc>
          <w:tcPr>
            <w:tcW w:w="178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left"/>
              <w:rPr>
                <w:rFonts w:ascii="Arial" w:hAnsi="Arial" w:cs="Arial"/>
                <w:sz w:val="18"/>
                <w:szCs w:val="18"/>
                <w:lang w:eastAsia="cs-CZ"/>
              </w:rPr>
            </w:pPr>
            <w:r w:rsidRPr="00EE0928">
              <w:rPr>
                <w:rFonts w:ascii="Arial" w:eastAsia="Calibri" w:hAnsi="Arial" w:cs="Arial"/>
                <w:sz w:val="18"/>
                <w:szCs w:val="18"/>
                <w:lang w:eastAsia="cs-CZ"/>
              </w:rPr>
              <w:t>594.000,-</w:t>
            </w:r>
          </w:p>
        </w:tc>
      </w:tr>
      <w:tr w:rsidR="00EE0928" w:rsidRPr="00EE0928" w:rsidTr="00EE0928">
        <w:trPr>
          <w:trHeight w:val="330"/>
        </w:trPr>
        <w:tc>
          <w:tcPr>
            <w:tcW w:w="9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2</w:t>
            </w:r>
          </w:p>
        </w:tc>
        <w:tc>
          <w:tcPr>
            <w:tcW w:w="13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6x</w:t>
            </w:r>
          </w:p>
        </w:tc>
        <w:tc>
          <w:tcPr>
            <w:tcW w:w="25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28x</w:t>
            </w:r>
          </w:p>
        </w:tc>
        <w:tc>
          <w:tcPr>
            <w:tcW w:w="178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left"/>
              <w:rPr>
                <w:rFonts w:ascii="Arial" w:hAnsi="Arial" w:cs="Arial"/>
                <w:sz w:val="18"/>
                <w:szCs w:val="18"/>
                <w:lang w:eastAsia="cs-CZ"/>
              </w:rPr>
            </w:pPr>
            <w:r w:rsidRPr="00EE0928">
              <w:rPr>
                <w:rFonts w:ascii="Arial" w:eastAsia="Calibri" w:hAnsi="Arial" w:cs="Arial"/>
                <w:sz w:val="18"/>
                <w:szCs w:val="18"/>
                <w:lang w:eastAsia="cs-CZ"/>
              </w:rPr>
              <w:t>9.241.306</w:t>
            </w:r>
            <w:r w:rsidRPr="00EE0928">
              <w:rPr>
                <w:rFonts w:eastAsia="Arial Unicode MS" w:cs="Arial Unicode MS" w:hint="eastAsia"/>
                <w:color w:val="000000"/>
                <w:szCs w:val="22"/>
                <w:lang w:eastAsia="cs-CZ"/>
              </w:rPr>
              <w:t>,-</w:t>
            </w:r>
          </w:p>
        </w:tc>
      </w:tr>
      <w:tr w:rsidR="00EE0928" w:rsidRPr="00EE0928" w:rsidTr="00EE0928">
        <w:trPr>
          <w:trHeight w:val="300"/>
        </w:trPr>
        <w:tc>
          <w:tcPr>
            <w:tcW w:w="9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3</w:t>
            </w:r>
          </w:p>
        </w:tc>
        <w:tc>
          <w:tcPr>
            <w:tcW w:w="13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5x</w:t>
            </w:r>
          </w:p>
        </w:tc>
        <w:tc>
          <w:tcPr>
            <w:tcW w:w="25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20x</w:t>
            </w:r>
          </w:p>
        </w:tc>
        <w:tc>
          <w:tcPr>
            <w:tcW w:w="178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left"/>
              <w:rPr>
                <w:rFonts w:ascii="Arial" w:hAnsi="Arial" w:cs="Arial"/>
                <w:sz w:val="18"/>
                <w:szCs w:val="18"/>
                <w:lang w:eastAsia="cs-CZ"/>
              </w:rPr>
            </w:pPr>
            <w:r w:rsidRPr="00EE0928">
              <w:rPr>
                <w:rFonts w:ascii="Arial" w:eastAsia="Calibri" w:hAnsi="Arial" w:cs="Arial"/>
                <w:sz w:val="18"/>
                <w:szCs w:val="18"/>
                <w:lang w:eastAsia="cs-CZ"/>
              </w:rPr>
              <w:t>7.536.977,-</w:t>
            </w:r>
          </w:p>
        </w:tc>
      </w:tr>
      <w:tr w:rsidR="00EE0928" w:rsidRPr="00EE0928" w:rsidTr="00EE0928">
        <w:trPr>
          <w:trHeight w:val="300"/>
        </w:trPr>
        <w:tc>
          <w:tcPr>
            <w:tcW w:w="9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4</w:t>
            </w:r>
          </w:p>
        </w:tc>
        <w:tc>
          <w:tcPr>
            <w:tcW w:w="13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5x</w:t>
            </w:r>
          </w:p>
        </w:tc>
        <w:tc>
          <w:tcPr>
            <w:tcW w:w="256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4x</w:t>
            </w:r>
          </w:p>
        </w:tc>
        <w:tc>
          <w:tcPr>
            <w:tcW w:w="1780" w:type="dxa"/>
            <w:tcBorders>
              <w:top w:val="nil"/>
              <w:left w:val="nil"/>
              <w:bottom w:val="nil"/>
              <w:right w:val="nil"/>
            </w:tcBorders>
            <w:shd w:val="clear" w:color="000000" w:fill="8DB4E3"/>
            <w:noWrap/>
            <w:vAlign w:val="center"/>
            <w:hideMark/>
          </w:tcPr>
          <w:p w:rsidR="00EE0928" w:rsidRPr="00EE0928" w:rsidRDefault="00EE0928" w:rsidP="00EE0928">
            <w:pPr>
              <w:suppressAutoHyphens w:val="0"/>
              <w:spacing w:after="0"/>
              <w:jc w:val="left"/>
              <w:rPr>
                <w:rFonts w:ascii="Arial" w:hAnsi="Arial" w:cs="Arial"/>
                <w:sz w:val="18"/>
                <w:szCs w:val="18"/>
                <w:lang w:eastAsia="cs-CZ"/>
              </w:rPr>
            </w:pPr>
            <w:r w:rsidRPr="00EE0928">
              <w:rPr>
                <w:rFonts w:ascii="Arial" w:eastAsia="Calibri" w:hAnsi="Arial" w:cs="Arial"/>
                <w:sz w:val="18"/>
                <w:szCs w:val="18"/>
                <w:lang w:eastAsia="cs-CZ"/>
              </w:rPr>
              <w:t>1.402.407,-</w:t>
            </w:r>
          </w:p>
        </w:tc>
      </w:tr>
      <w:tr w:rsidR="00EE0928" w:rsidRPr="00EE0928" w:rsidTr="00EE0928">
        <w:trPr>
          <w:trHeight w:val="300"/>
        </w:trPr>
        <w:tc>
          <w:tcPr>
            <w:tcW w:w="9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w:t>
            </w:r>
          </w:p>
        </w:tc>
        <w:tc>
          <w:tcPr>
            <w:tcW w:w="13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5x</w:t>
            </w:r>
          </w:p>
        </w:tc>
        <w:tc>
          <w:tcPr>
            <w:tcW w:w="256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center"/>
              <w:rPr>
                <w:rFonts w:ascii="Arial" w:hAnsi="Arial" w:cs="Arial"/>
                <w:sz w:val="18"/>
                <w:szCs w:val="18"/>
                <w:lang w:eastAsia="cs-CZ"/>
              </w:rPr>
            </w:pPr>
            <w:r w:rsidRPr="00EE0928">
              <w:rPr>
                <w:rFonts w:ascii="Arial" w:eastAsia="Calibri" w:hAnsi="Arial" w:cs="Arial"/>
                <w:sz w:val="18"/>
                <w:szCs w:val="18"/>
                <w:lang w:eastAsia="cs-CZ"/>
              </w:rPr>
              <w:t>5x</w:t>
            </w:r>
          </w:p>
        </w:tc>
        <w:tc>
          <w:tcPr>
            <w:tcW w:w="1780" w:type="dxa"/>
            <w:tcBorders>
              <w:top w:val="nil"/>
              <w:left w:val="nil"/>
              <w:bottom w:val="nil"/>
              <w:right w:val="nil"/>
            </w:tcBorders>
            <w:shd w:val="clear" w:color="000000" w:fill="DBE5F1"/>
            <w:noWrap/>
            <w:vAlign w:val="center"/>
            <w:hideMark/>
          </w:tcPr>
          <w:p w:rsidR="00EE0928" w:rsidRPr="00EE0928" w:rsidRDefault="00EE0928" w:rsidP="00EE0928">
            <w:pPr>
              <w:suppressAutoHyphens w:val="0"/>
              <w:spacing w:after="0"/>
              <w:jc w:val="left"/>
              <w:rPr>
                <w:rFonts w:ascii="Arial" w:hAnsi="Arial" w:cs="Arial"/>
                <w:sz w:val="18"/>
                <w:szCs w:val="18"/>
                <w:lang w:eastAsia="cs-CZ"/>
              </w:rPr>
            </w:pPr>
            <w:r w:rsidRPr="00EE0928">
              <w:rPr>
                <w:rFonts w:ascii="Arial" w:eastAsia="Calibri" w:hAnsi="Arial" w:cs="Arial"/>
                <w:sz w:val="18"/>
                <w:szCs w:val="18"/>
                <w:lang w:eastAsia="cs-CZ"/>
              </w:rPr>
              <w:t>872.935,-</w:t>
            </w:r>
          </w:p>
        </w:tc>
      </w:tr>
    </w:tbl>
    <w:p w:rsidR="008544C5" w:rsidRDefault="008544C5" w:rsidP="00A43313">
      <w:pPr>
        <w:autoSpaceDE w:val="0"/>
        <w:rPr>
          <w:rFonts w:eastAsia="TimesNewRomanPSMT" w:cs="TimesNewRomanPSMT"/>
        </w:rPr>
      </w:pPr>
    </w:p>
    <w:p w:rsidR="00EE0928" w:rsidRDefault="0077349E" w:rsidP="00A43313">
      <w:pPr>
        <w:autoSpaceDE w:val="0"/>
        <w:rPr>
          <w:rFonts w:eastAsia="TimesNewRomanPSMT" w:cs="TimesNewRomanPSMT"/>
        </w:rPr>
      </w:pPr>
      <w:r>
        <w:rPr>
          <w:rFonts w:eastAsia="TimesNewRomanPSMT" w:cs="TimesNewRomanPSMT"/>
        </w:rPr>
        <w:t>Zejména v prvních výzvách MAS Litomyšlsko o.p.s. i žadatelé sbíraly zkušenosti s Programem rozvoje venkova a se spojenou administrativou, což vedlo také k některým administrativním chybám, v důsledku čehož neb</w:t>
      </w:r>
      <w:r w:rsidR="00624CCF">
        <w:rPr>
          <w:rFonts w:eastAsia="TimesNewRomanPSMT" w:cs="TimesNewRomanPSMT"/>
        </w:rPr>
        <w:t>y</w:t>
      </w:r>
      <w:r>
        <w:rPr>
          <w:rFonts w:eastAsia="TimesNewRomanPSMT" w:cs="TimesNewRomanPSMT"/>
        </w:rPr>
        <w:t>ly některé projekty schváleny nebo  u nich byla  ukončena administrace (Ze strany Státního zemědělského a intervenčního fondu pověřeného ad</w:t>
      </w:r>
      <w:r w:rsidR="00624CCF">
        <w:rPr>
          <w:rFonts w:eastAsia="TimesNewRomanPSMT" w:cs="TimesNewRomanPSMT"/>
        </w:rPr>
        <w:t>m</w:t>
      </w:r>
      <w:r>
        <w:rPr>
          <w:rFonts w:eastAsia="TimesNewRomanPSMT" w:cs="TimesNewRomanPSMT"/>
        </w:rPr>
        <w:t>inistrací programu rozvoje venkova Ministerstvem zemědělství ČR). Počátečn</w:t>
      </w:r>
      <w:r w:rsidR="00F324A0">
        <w:rPr>
          <w:rFonts w:eastAsia="TimesNewRomanPSMT" w:cs="TimesNewRomanPSMT"/>
        </w:rPr>
        <w:t>í chybovost</w:t>
      </w:r>
      <w:r>
        <w:rPr>
          <w:rFonts w:eastAsia="TimesNewRomanPSMT" w:cs="TimesNewRomanPSMT"/>
        </w:rPr>
        <w:t xml:space="preserve"> ale</w:t>
      </w:r>
      <w:r w:rsidR="00F324A0">
        <w:rPr>
          <w:rFonts w:eastAsia="TimesNewRomanPSMT" w:cs="TimesNewRomanPSMT"/>
        </w:rPr>
        <w:t xml:space="preserve"> vedla ke zvýšení zkušeností všech stran a</w:t>
      </w:r>
      <w:r>
        <w:rPr>
          <w:rFonts w:eastAsia="TimesNewRomanPSMT" w:cs="TimesNewRomanPSMT"/>
        </w:rPr>
        <w:t xml:space="preserve"> postupem času </w:t>
      </w:r>
      <w:r w:rsidR="00F324A0">
        <w:rPr>
          <w:rFonts w:eastAsia="TimesNewRomanPSMT" w:cs="TimesNewRomanPSMT"/>
        </w:rPr>
        <w:t>se</w:t>
      </w:r>
      <w:r>
        <w:rPr>
          <w:rFonts w:eastAsia="TimesNewRomanPSMT" w:cs="TimesNewRomanPSMT"/>
        </w:rPr>
        <w:t xml:space="preserve"> podařilo razantním způsobem</w:t>
      </w:r>
      <w:r w:rsidR="00F324A0">
        <w:rPr>
          <w:rFonts w:eastAsia="TimesNewRomanPSMT" w:cs="TimesNewRomanPSMT"/>
        </w:rPr>
        <w:t xml:space="preserve"> chybovost</w:t>
      </w:r>
      <w:r>
        <w:rPr>
          <w:rFonts w:eastAsia="TimesNewRomanPSMT" w:cs="TimesNewRomanPSMT"/>
        </w:rPr>
        <w:t xml:space="preserve"> eliminovat.</w:t>
      </w:r>
    </w:p>
    <w:tbl>
      <w:tblPr>
        <w:tblW w:w="5120" w:type="dxa"/>
        <w:tblInd w:w="53" w:type="dxa"/>
        <w:tblCellMar>
          <w:left w:w="70" w:type="dxa"/>
          <w:right w:w="70" w:type="dxa"/>
        </w:tblCellMar>
        <w:tblLook w:val="04A0"/>
      </w:tblPr>
      <w:tblGrid>
        <w:gridCol w:w="960"/>
        <w:gridCol w:w="2300"/>
        <w:gridCol w:w="1860"/>
      </w:tblGrid>
      <w:tr w:rsidR="0077349E" w:rsidRPr="0077349E" w:rsidTr="0077349E">
        <w:trPr>
          <w:trHeight w:val="300"/>
        </w:trPr>
        <w:tc>
          <w:tcPr>
            <w:tcW w:w="960" w:type="dxa"/>
            <w:tcBorders>
              <w:top w:val="nil"/>
              <w:left w:val="nil"/>
              <w:bottom w:val="nil"/>
              <w:right w:val="nil"/>
            </w:tcBorders>
            <w:shd w:val="clear" w:color="000000" w:fill="17375D"/>
            <w:noWrap/>
            <w:vAlign w:val="center"/>
            <w:hideMark/>
          </w:tcPr>
          <w:p w:rsidR="0077349E" w:rsidRPr="0077349E" w:rsidRDefault="0077349E" w:rsidP="0077349E">
            <w:pPr>
              <w:suppressAutoHyphens w:val="0"/>
              <w:spacing w:after="0"/>
              <w:jc w:val="left"/>
              <w:rPr>
                <w:rFonts w:ascii="Arial" w:hAnsi="Arial" w:cs="Arial"/>
                <w:b/>
                <w:bCs/>
                <w:color w:val="FFFFFF"/>
                <w:sz w:val="18"/>
                <w:szCs w:val="18"/>
                <w:lang w:eastAsia="cs-CZ"/>
              </w:rPr>
            </w:pPr>
            <w:r w:rsidRPr="0077349E">
              <w:rPr>
                <w:rFonts w:ascii="Arial" w:hAnsi="Arial" w:cs="Arial"/>
                <w:b/>
                <w:bCs/>
                <w:color w:val="FFFFFF"/>
                <w:sz w:val="18"/>
                <w:szCs w:val="18"/>
                <w:lang w:eastAsia="cs-CZ"/>
              </w:rPr>
              <w:t>Výzva</w:t>
            </w:r>
          </w:p>
        </w:tc>
        <w:tc>
          <w:tcPr>
            <w:tcW w:w="2300" w:type="dxa"/>
            <w:tcBorders>
              <w:top w:val="nil"/>
              <w:left w:val="nil"/>
              <w:bottom w:val="nil"/>
              <w:right w:val="nil"/>
            </w:tcBorders>
            <w:shd w:val="clear" w:color="000000" w:fill="17375D"/>
            <w:noWrap/>
            <w:vAlign w:val="center"/>
            <w:hideMark/>
          </w:tcPr>
          <w:p w:rsidR="0077349E" w:rsidRPr="0077349E" w:rsidRDefault="0077349E" w:rsidP="0077349E">
            <w:pPr>
              <w:suppressAutoHyphens w:val="0"/>
              <w:spacing w:after="0"/>
              <w:jc w:val="left"/>
              <w:rPr>
                <w:rFonts w:ascii="Arial" w:hAnsi="Arial" w:cs="Arial"/>
                <w:b/>
                <w:bCs/>
                <w:color w:val="FFFFFF"/>
                <w:sz w:val="18"/>
                <w:szCs w:val="18"/>
                <w:lang w:eastAsia="cs-CZ"/>
              </w:rPr>
            </w:pPr>
            <w:r w:rsidRPr="0077349E">
              <w:rPr>
                <w:rFonts w:ascii="Arial" w:hAnsi="Arial" w:cs="Arial"/>
                <w:b/>
                <w:bCs/>
                <w:color w:val="FFFFFF"/>
                <w:sz w:val="18"/>
                <w:szCs w:val="18"/>
                <w:lang w:eastAsia="cs-CZ"/>
              </w:rPr>
              <w:t>Ukončená administrace</w:t>
            </w:r>
          </w:p>
        </w:tc>
        <w:tc>
          <w:tcPr>
            <w:tcW w:w="1860" w:type="dxa"/>
            <w:tcBorders>
              <w:top w:val="nil"/>
              <w:left w:val="nil"/>
              <w:bottom w:val="nil"/>
              <w:right w:val="nil"/>
            </w:tcBorders>
            <w:shd w:val="clear" w:color="000000" w:fill="17375D"/>
            <w:noWrap/>
            <w:vAlign w:val="center"/>
            <w:hideMark/>
          </w:tcPr>
          <w:p w:rsidR="0077349E" w:rsidRPr="0077349E" w:rsidRDefault="0077349E" w:rsidP="0077349E">
            <w:pPr>
              <w:suppressAutoHyphens w:val="0"/>
              <w:spacing w:after="0"/>
              <w:jc w:val="left"/>
              <w:rPr>
                <w:rFonts w:ascii="Arial" w:hAnsi="Arial" w:cs="Arial"/>
                <w:b/>
                <w:bCs/>
                <w:color w:val="FFFFFF"/>
                <w:sz w:val="18"/>
                <w:szCs w:val="18"/>
                <w:lang w:eastAsia="cs-CZ"/>
              </w:rPr>
            </w:pPr>
            <w:r w:rsidRPr="0077349E">
              <w:rPr>
                <w:rFonts w:ascii="Arial" w:hAnsi="Arial" w:cs="Arial"/>
                <w:b/>
                <w:bCs/>
                <w:color w:val="FFFFFF"/>
                <w:sz w:val="18"/>
                <w:szCs w:val="18"/>
                <w:lang w:eastAsia="cs-CZ"/>
              </w:rPr>
              <w:t>Projet neschválen</w:t>
            </w:r>
          </w:p>
        </w:tc>
      </w:tr>
      <w:tr w:rsidR="0077349E" w:rsidRPr="0077349E" w:rsidTr="0077349E">
        <w:trPr>
          <w:trHeight w:val="300"/>
        </w:trPr>
        <w:tc>
          <w:tcPr>
            <w:tcW w:w="9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1</w:t>
            </w:r>
          </w:p>
        </w:tc>
        <w:tc>
          <w:tcPr>
            <w:tcW w:w="230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4</w:t>
            </w:r>
          </w:p>
        </w:tc>
        <w:tc>
          <w:tcPr>
            <w:tcW w:w="18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r w:rsidR="0077349E" w:rsidRPr="0077349E" w:rsidTr="0077349E">
        <w:trPr>
          <w:trHeight w:val="300"/>
        </w:trPr>
        <w:tc>
          <w:tcPr>
            <w:tcW w:w="9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2</w:t>
            </w:r>
          </w:p>
        </w:tc>
        <w:tc>
          <w:tcPr>
            <w:tcW w:w="230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1</w:t>
            </w:r>
          </w:p>
        </w:tc>
        <w:tc>
          <w:tcPr>
            <w:tcW w:w="18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r w:rsidR="0077349E" w:rsidRPr="0077349E" w:rsidTr="0077349E">
        <w:trPr>
          <w:trHeight w:val="300"/>
        </w:trPr>
        <w:tc>
          <w:tcPr>
            <w:tcW w:w="9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3</w:t>
            </w:r>
          </w:p>
        </w:tc>
        <w:tc>
          <w:tcPr>
            <w:tcW w:w="230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5</w:t>
            </w:r>
          </w:p>
        </w:tc>
        <w:tc>
          <w:tcPr>
            <w:tcW w:w="18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3</w:t>
            </w:r>
          </w:p>
        </w:tc>
      </w:tr>
      <w:tr w:rsidR="0077349E" w:rsidRPr="0077349E" w:rsidTr="0077349E">
        <w:trPr>
          <w:trHeight w:val="300"/>
        </w:trPr>
        <w:tc>
          <w:tcPr>
            <w:tcW w:w="9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4</w:t>
            </w:r>
          </w:p>
        </w:tc>
        <w:tc>
          <w:tcPr>
            <w:tcW w:w="230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c>
          <w:tcPr>
            <w:tcW w:w="18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r w:rsidR="0077349E" w:rsidRPr="0077349E" w:rsidTr="0077349E">
        <w:trPr>
          <w:trHeight w:val="300"/>
        </w:trPr>
        <w:tc>
          <w:tcPr>
            <w:tcW w:w="9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5</w:t>
            </w:r>
          </w:p>
        </w:tc>
        <w:tc>
          <w:tcPr>
            <w:tcW w:w="230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c>
          <w:tcPr>
            <w:tcW w:w="18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r w:rsidR="0077349E" w:rsidRPr="0077349E" w:rsidTr="0077349E">
        <w:trPr>
          <w:trHeight w:val="300"/>
        </w:trPr>
        <w:tc>
          <w:tcPr>
            <w:tcW w:w="9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6</w:t>
            </w:r>
          </w:p>
        </w:tc>
        <w:tc>
          <w:tcPr>
            <w:tcW w:w="230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3</w:t>
            </w:r>
          </w:p>
        </w:tc>
        <w:tc>
          <w:tcPr>
            <w:tcW w:w="1860" w:type="dxa"/>
            <w:tcBorders>
              <w:top w:val="nil"/>
              <w:left w:val="nil"/>
              <w:bottom w:val="nil"/>
              <w:right w:val="nil"/>
            </w:tcBorders>
            <w:shd w:val="clear" w:color="000000" w:fill="8DB4E3"/>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r w:rsidR="0077349E" w:rsidRPr="0077349E" w:rsidTr="0077349E">
        <w:trPr>
          <w:trHeight w:val="300"/>
        </w:trPr>
        <w:tc>
          <w:tcPr>
            <w:tcW w:w="9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7</w:t>
            </w:r>
          </w:p>
        </w:tc>
        <w:tc>
          <w:tcPr>
            <w:tcW w:w="230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c>
          <w:tcPr>
            <w:tcW w:w="1860" w:type="dxa"/>
            <w:tcBorders>
              <w:top w:val="nil"/>
              <w:left w:val="nil"/>
              <w:bottom w:val="nil"/>
              <w:right w:val="nil"/>
            </w:tcBorders>
            <w:shd w:val="clear" w:color="000000" w:fill="DBE5F1"/>
            <w:noWrap/>
            <w:vAlign w:val="center"/>
            <w:hideMark/>
          </w:tcPr>
          <w:p w:rsidR="0077349E" w:rsidRPr="0077349E" w:rsidRDefault="0077349E" w:rsidP="0077349E">
            <w:pPr>
              <w:suppressAutoHyphens w:val="0"/>
              <w:spacing w:after="0"/>
              <w:jc w:val="center"/>
              <w:rPr>
                <w:rFonts w:ascii="Arial" w:hAnsi="Arial" w:cs="Arial"/>
                <w:sz w:val="18"/>
                <w:szCs w:val="18"/>
                <w:lang w:eastAsia="cs-CZ"/>
              </w:rPr>
            </w:pPr>
            <w:r w:rsidRPr="0077349E">
              <w:rPr>
                <w:rFonts w:ascii="Arial" w:hAnsi="Arial" w:cs="Arial"/>
                <w:sz w:val="18"/>
                <w:szCs w:val="18"/>
                <w:lang w:eastAsia="cs-CZ"/>
              </w:rPr>
              <w:t>0</w:t>
            </w:r>
          </w:p>
        </w:tc>
      </w:tr>
    </w:tbl>
    <w:p w:rsidR="008544C5" w:rsidRPr="009D3B3F" w:rsidRDefault="009D3B3F" w:rsidP="002608A3">
      <w:pPr>
        <w:autoSpaceDE w:val="0"/>
        <w:spacing w:before="240"/>
        <w:rPr>
          <w:rFonts w:eastAsia="TimesNewRomanPSMT" w:cs="TimesNewRomanPSMT"/>
        </w:rPr>
      </w:pPr>
      <w:r w:rsidRPr="009D3B3F">
        <w:rPr>
          <w:rFonts w:eastAsia="TimesNewRomanPSMT" w:cs="TimesNewRomanPSMT"/>
        </w:rPr>
        <w:t>Kromě úspěšné realizace SPL má MAS Litomyšlsko o.p.s. za sebou také dvě neúspěšné žádosti o realizaci projektů spolupráce v rámci Programu Rozvoje venkova osa IV.</w:t>
      </w:r>
    </w:p>
    <w:p w:rsidR="00DA060F" w:rsidRDefault="00DA060F" w:rsidP="00D75B21">
      <w:pPr>
        <w:pStyle w:val="Nadpis4"/>
        <w:rPr>
          <w:rFonts w:eastAsia="TimesNewRomanPSMT"/>
        </w:rPr>
      </w:pPr>
      <w:r>
        <w:rPr>
          <w:rFonts w:eastAsia="TimesNewRomanPSMT"/>
        </w:rPr>
        <w:t>Ostatní dotace a granty</w:t>
      </w:r>
    </w:p>
    <w:p w:rsidR="00DA060F" w:rsidRPr="00F35BFA" w:rsidRDefault="00E70E37" w:rsidP="00DA060F">
      <w:pPr>
        <w:autoSpaceDE w:val="0"/>
        <w:rPr>
          <w:rFonts w:eastAsia="TimesNewRomanPSMT" w:cs="TimesNewRomanPSMT"/>
        </w:rPr>
      </w:pPr>
      <w:r w:rsidRPr="00F35BFA">
        <w:rPr>
          <w:rFonts w:eastAsia="TimesNewRomanPSMT" w:cs="TimesNewRomanPSMT"/>
        </w:rPr>
        <w:t>Poměrně pravidelně získávala MAS Litomyšlsko o.p.s. d</w:t>
      </w:r>
      <w:r w:rsidR="00DA060F" w:rsidRPr="00F35BFA">
        <w:rPr>
          <w:rFonts w:eastAsia="TimesNewRomanPSMT" w:cs="TimesNewRomanPSMT"/>
        </w:rPr>
        <w:t xml:space="preserve">otace Pardubického kraje, které </w:t>
      </w:r>
      <w:r w:rsidRPr="00F35BFA">
        <w:rPr>
          <w:rFonts w:eastAsia="TimesNewRomanPSMT" w:cs="TimesNewRomanPSMT"/>
        </w:rPr>
        <w:t xml:space="preserve">doposud </w:t>
      </w:r>
      <w:r w:rsidR="00DA060F" w:rsidRPr="00F35BFA">
        <w:rPr>
          <w:rFonts w:eastAsia="TimesNewRomanPSMT" w:cs="TimesNewRomanPSMT"/>
        </w:rPr>
        <w:t xml:space="preserve">sloužily k </w:t>
      </w:r>
      <w:r w:rsidRPr="00F35BFA">
        <w:rPr>
          <w:rFonts w:eastAsia="TimesNewRomanPSMT" w:cs="TimesNewRomanPSMT"/>
        </w:rPr>
        <w:t>podpoře</w:t>
      </w:r>
      <w:r w:rsidR="00DA060F" w:rsidRPr="00F35BFA">
        <w:rPr>
          <w:rFonts w:eastAsia="TimesNewRomanPSMT" w:cs="TimesNewRomanPSMT"/>
        </w:rPr>
        <w:t xml:space="preserve"> činnosti MAS Litomyšlsko o.p.s., ale také p</w:t>
      </w:r>
      <w:r w:rsidRPr="00F35BFA">
        <w:rPr>
          <w:rFonts w:eastAsia="TimesNewRomanPSMT" w:cs="TimesNewRomanPSMT"/>
        </w:rPr>
        <w:t>řispěly</w:t>
      </w:r>
      <w:r w:rsidR="00DA060F" w:rsidRPr="00F35BFA">
        <w:rPr>
          <w:rFonts w:eastAsia="TimesNewRomanPSMT" w:cs="TimesNewRomanPSMT"/>
        </w:rPr>
        <w:t xml:space="preserve"> k získání </w:t>
      </w:r>
      <w:r w:rsidRPr="00F35BFA">
        <w:rPr>
          <w:rFonts w:eastAsia="TimesNewRomanPSMT" w:cs="TimesNewRomanPSMT"/>
        </w:rPr>
        <w:t>dalších</w:t>
      </w:r>
      <w:r w:rsidR="00DA060F" w:rsidRPr="00F35BFA">
        <w:rPr>
          <w:rFonts w:eastAsia="TimesNewRomanPSMT" w:cs="TimesNewRomanPSMT"/>
        </w:rPr>
        <w:t xml:space="preserve"> v</w:t>
      </w:r>
      <w:r w:rsidRPr="00F35BFA">
        <w:rPr>
          <w:rFonts w:eastAsia="TimesNewRomanPSMT" w:cs="TimesNewRomanPSMT"/>
        </w:rPr>
        <w:t>ědomostí a zkušeností</w:t>
      </w:r>
      <w:r w:rsidR="00F35BFA" w:rsidRPr="00F35BFA">
        <w:rPr>
          <w:rFonts w:eastAsia="TimesNewRomanPSMT" w:cs="TimesNewRomanPSMT"/>
        </w:rPr>
        <w:t>.</w:t>
      </w:r>
    </w:p>
    <w:p w:rsidR="001819D8" w:rsidRDefault="00696ECA" w:rsidP="001819D8">
      <w:pPr>
        <w:rPr>
          <w:rFonts w:eastAsia="TimesNewRomanPSMT"/>
        </w:rPr>
      </w:pPr>
      <w:r w:rsidRPr="00696ECA">
        <w:rPr>
          <w:rFonts w:eastAsia="TimesNewRomanPSMT"/>
        </w:rPr>
        <w:lastRenderedPageBreak/>
        <w:t>OP Technická pomoc</w:t>
      </w:r>
      <w:r>
        <w:rPr>
          <w:rFonts w:eastAsia="TimesNewRomanPSMT"/>
        </w:rPr>
        <w:t xml:space="preserve"> (Ministerstvo pro místní rozvoj ČR) - </w:t>
      </w:r>
      <w:r w:rsidR="001819D8" w:rsidRPr="001819D8">
        <w:rPr>
          <w:rFonts w:eastAsia="TimesNewRomanPSMT"/>
        </w:rPr>
        <w:t>Podpora</w:t>
      </w:r>
      <w:r>
        <w:rPr>
          <w:rFonts w:eastAsia="TimesNewRomanPSMT"/>
        </w:rPr>
        <w:t xml:space="preserve"> </w:t>
      </w:r>
      <w:r w:rsidR="001819D8" w:rsidRPr="001819D8">
        <w:rPr>
          <w:rFonts w:eastAsia="TimesNewRomanPSMT"/>
        </w:rPr>
        <w:t>vzniku</w:t>
      </w:r>
      <w:r>
        <w:rPr>
          <w:rFonts w:eastAsia="TimesNewRomanPSMT"/>
        </w:rPr>
        <w:t xml:space="preserve"> </w:t>
      </w:r>
      <w:r w:rsidR="001819D8" w:rsidRPr="001819D8">
        <w:rPr>
          <w:rFonts w:eastAsia="TimesNewRomanPSMT"/>
        </w:rPr>
        <w:t>strategie</w:t>
      </w:r>
      <w:r>
        <w:rPr>
          <w:rFonts w:eastAsia="TimesNewRomanPSMT"/>
        </w:rPr>
        <w:t xml:space="preserve"> </w:t>
      </w:r>
      <w:r w:rsidR="001819D8" w:rsidRPr="001819D8">
        <w:rPr>
          <w:rFonts w:eastAsia="TimesNewRomanPSMT"/>
        </w:rPr>
        <w:t>komunitně</w:t>
      </w:r>
      <w:r>
        <w:rPr>
          <w:rFonts w:eastAsia="TimesNewRomanPSMT"/>
        </w:rPr>
        <w:t xml:space="preserve"> </w:t>
      </w:r>
      <w:r w:rsidR="001819D8" w:rsidRPr="001819D8">
        <w:rPr>
          <w:rFonts w:eastAsia="TimesNewRomanPSMT"/>
        </w:rPr>
        <w:t>vedeného</w:t>
      </w:r>
      <w:r>
        <w:rPr>
          <w:rFonts w:eastAsia="TimesNewRomanPSMT"/>
        </w:rPr>
        <w:t xml:space="preserve"> </w:t>
      </w:r>
      <w:r w:rsidR="001819D8" w:rsidRPr="001819D8">
        <w:rPr>
          <w:rFonts w:eastAsia="TimesNewRomanPSMT"/>
        </w:rPr>
        <w:t>místního</w:t>
      </w:r>
      <w:r>
        <w:rPr>
          <w:rFonts w:eastAsia="TimesNewRomanPSMT"/>
        </w:rPr>
        <w:t xml:space="preserve"> </w:t>
      </w:r>
      <w:r w:rsidR="001819D8" w:rsidRPr="001819D8">
        <w:rPr>
          <w:rFonts w:eastAsia="TimesNewRomanPSMT"/>
        </w:rPr>
        <w:t>rozvoje</w:t>
      </w:r>
      <w:r>
        <w:rPr>
          <w:rFonts w:eastAsia="TimesNewRomanPSMT"/>
        </w:rPr>
        <w:t xml:space="preserve"> </w:t>
      </w:r>
      <w:r w:rsidR="001819D8" w:rsidRPr="001819D8">
        <w:rPr>
          <w:rFonts w:eastAsia="TimesNewRomanPSMT"/>
        </w:rPr>
        <w:t>pro</w:t>
      </w:r>
      <w:r>
        <w:rPr>
          <w:rFonts w:eastAsia="TimesNewRomanPSMT"/>
        </w:rPr>
        <w:t xml:space="preserve"> </w:t>
      </w:r>
      <w:r w:rsidR="001819D8" w:rsidRPr="001819D8">
        <w:rPr>
          <w:rFonts w:eastAsia="TimesNewRomanPSMT"/>
        </w:rPr>
        <w:t>území</w:t>
      </w:r>
      <w:r>
        <w:rPr>
          <w:rFonts w:eastAsia="TimesNewRomanPSMT"/>
        </w:rPr>
        <w:t xml:space="preserve"> </w:t>
      </w:r>
      <w:r w:rsidR="001819D8" w:rsidRPr="001819D8">
        <w:rPr>
          <w:rFonts w:eastAsia="TimesNewRomanPSMT"/>
        </w:rPr>
        <w:t>MAS</w:t>
      </w:r>
      <w:r>
        <w:rPr>
          <w:rFonts w:eastAsia="TimesNewRomanPSMT"/>
        </w:rPr>
        <w:t xml:space="preserve"> </w:t>
      </w:r>
      <w:r w:rsidR="001819D8" w:rsidRPr="001819D8">
        <w:rPr>
          <w:rFonts w:eastAsia="TimesNewRomanPSMT"/>
        </w:rPr>
        <w:t>Litomyšlsko</w:t>
      </w:r>
      <w:r>
        <w:rPr>
          <w:rFonts w:eastAsia="TimesNewRomanPSMT"/>
        </w:rPr>
        <w:t> </w:t>
      </w:r>
      <w:r w:rsidR="001819D8" w:rsidRPr="001819D8">
        <w:rPr>
          <w:rFonts w:eastAsia="TimesNewRomanPSMT"/>
        </w:rPr>
        <w:t>o.p.s.</w:t>
      </w:r>
      <w:r w:rsidR="00E70E37">
        <w:rPr>
          <w:rFonts w:eastAsia="TimesNewRomanPSMT"/>
        </w:rPr>
        <w:t xml:space="preserve"> </w:t>
      </w:r>
      <w:r w:rsidR="00910172">
        <w:rPr>
          <w:rFonts w:eastAsia="TimesNewRomanPSMT"/>
        </w:rPr>
        <w:t>Jedná se o dotaci, která financuje</w:t>
      </w:r>
      <w:r>
        <w:rPr>
          <w:rFonts w:eastAsia="TimesNewRomanPSMT"/>
        </w:rPr>
        <w:t xml:space="preserve"> vznik této SCLLD.</w:t>
      </w:r>
    </w:p>
    <w:p w:rsidR="004F5EA0" w:rsidRDefault="004F5EA0" w:rsidP="00D75B21">
      <w:pPr>
        <w:pStyle w:val="Nadpis4"/>
        <w:rPr>
          <w:rFonts w:eastAsia="TimesNewRomanPSMT"/>
        </w:rPr>
      </w:pPr>
      <w:r>
        <w:rPr>
          <w:rFonts w:eastAsia="TimesNewRomanPSMT"/>
        </w:rPr>
        <w:t>P</w:t>
      </w:r>
      <w:r w:rsidR="00D75B21">
        <w:rPr>
          <w:rFonts w:eastAsia="TimesNewRomanPSMT"/>
        </w:rPr>
        <w:t>říklady projektů</w:t>
      </w:r>
      <w:r>
        <w:rPr>
          <w:rFonts w:eastAsia="TimesNewRomanPSMT"/>
        </w:rPr>
        <w:t xml:space="preserve"> </w:t>
      </w:r>
      <w:r w:rsidR="00DA060F">
        <w:rPr>
          <w:rFonts w:eastAsia="TimesNewRomanPSMT"/>
        </w:rPr>
        <w:t>MAS bez dotační a grantové podpory</w:t>
      </w:r>
    </w:p>
    <w:p w:rsidR="00C974FF" w:rsidRDefault="00C974FF" w:rsidP="00C974FF">
      <w:pPr>
        <w:rPr>
          <w:rFonts w:eastAsia="TimesNewRomanPSMT"/>
        </w:rPr>
      </w:pPr>
      <w:r>
        <w:rPr>
          <w:rFonts w:eastAsia="TimesNewRomanPSMT"/>
        </w:rPr>
        <w:t>Skřítek Vítek – Soutěž o nejlepší venkovskou školku regionu, která proběhla v roce 2012 a kromě finančního podpoření umístěných školek přispěla také k propagaci MAS a aktivizaci subjektů v regionu.</w:t>
      </w:r>
    </w:p>
    <w:p w:rsidR="00C974FF" w:rsidRDefault="00C974FF" w:rsidP="00C974FF">
      <w:pPr>
        <w:rPr>
          <w:szCs w:val="22"/>
        </w:rPr>
      </w:pPr>
      <w:r>
        <w:rPr>
          <w:szCs w:val="22"/>
        </w:rPr>
        <w:t xml:space="preserve">Finanční gramotnost – „Platím, platíš, platíme, co z toho nám zůstane?“ Řada seminářů pro ZŠ, zástupce místní správy a samosprávy a veřejnosti, která proběhla v roce 2013 a měla za cíl prevenci negativních jevů vyplývajících z neznalosti ve finanční oblasti obyvatel. </w:t>
      </w:r>
    </w:p>
    <w:p w:rsidR="00C974FF" w:rsidRDefault="00C974FF" w:rsidP="00C974FF">
      <w:pPr>
        <w:rPr>
          <w:szCs w:val="22"/>
        </w:rPr>
      </w:pPr>
      <w:r>
        <w:rPr>
          <w:szCs w:val="22"/>
        </w:rPr>
        <w:t xml:space="preserve">Chceme čistý les – </w:t>
      </w:r>
      <w:r w:rsidR="002B09F9">
        <w:rPr>
          <w:szCs w:val="22"/>
        </w:rPr>
        <w:t>V rámci projektu byly ve vytipovaných lokalitách potýkajících se s ukládáním odpadků volně do přírody umístěny informační tabule odkazující na nejbližší sběrná místa odpadů (doplněné o kresby dětí ze ZŠ), což efektivně (</w:t>
      </w:r>
      <w:r w:rsidR="00624CCF">
        <w:rPr>
          <w:szCs w:val="22"/>
        </w:rPr>
        <w:t>nenásilným</w:t>
      </w:r>
      <w:r w:rsidR="002B09F9">
        <w:rPr>
          <w:szCs w:val="22"/>
        </w:rPr>
        <w:t xml:space="preserve"> způsobem) zamezilo dalšímu znečišťování těchto lokalit.</w:t>
      </w:r>
    </w:p>
    <w:p w:rsidR="00C974FF" w:rsidRDefault="00C974FF" w:rsidP="00C974FF">
      <w:pPr>
        <w:rPr>
          <w:szCs w:val="22"/>
        </w:rPr>
      </w:pPr>
      <w:r>
        <w:rPr>
          <w:szCs w:val="22"/>
        </w:rPr>
        <w:t xml:space="preserve">Naučné stezky regionu </w:t>
      </w:r>
      <w:r w:rsidR="00BA22F7">
        <w:rPr>
          <w:szCs w:val="22"/>
        </w:rPr>
        <w:t>–</w:t>
      </w:r>
      <w:r>
        <w:rPr>
          <w:szCs w:val="22"/>
        </w:rPr>
        <w:t xml:space="preserve"> </w:t>
      </w:r>
      <w:r w:rsidR="00BA22F7">
        <w:rPr>
          <w:szCs w:val="22"/>
        </w:rPr>
        <w:t>MAS Litomyšlsko o.p.s. tímto projektem zajistila souhrnnou propagaci naučných stezek v regionu, aby tak přispěla jejich využití. V rámci projektu byly ve všech obcích regionu umístěny informační tabule a distribuovány informační letáky o naučných stezkách regionu. MAS Litomyšlsko o.p.s. vyjednala financování projektu z darů regionálních subjektů</w:t>
      </w:r>
    </w:p>
    <w:p w:rsidR="00B50E8D" w:rsidRDefault="00B50E8D" w:rsidP="009F4D7F">
      <w:pPr>
        <w:pStyle w:val="Nadpis2"/>
      </w:pPr>
      <w:bookmarkStart w:id="10" w:name="_Toc430006484"/>
      <w:r>
        <w:t>Defino</w:t>
      </w:r>
      <w:r w:rsidR="00A43313">
        <w:t>vání odpovědností za realizaci</w:t>
      </w:r>
      <w:bookmarkEnd w:id="10"/>
    </w:p>
    <w:p w:rsidR="00B50E8D" w:rsidRDefault="00A43313" w:rsidP="009F4D7F">
      <w:r>
        <w:t>Odpovědnost za realizaci SCLLD MAS Litomyšlsko</w:t>
      </w:r>
      <w:r w:rsidR="00EB3E78">
        <w:t xml:space="preserve"> pro roky 2014 - 2020</w:t>
      </w:r>
      <w:r>
        <w:t xml:space="preserve"> nese partnerství začleněné v rámci MAS Litomyšlsko o.p.s. jak organizační složka bez právní subjektivity.</w:t>
      </w:r>
    </w:p>
    <w:p w:rsidR="0039679C" w:rsidRDefault="0039679C" w:rsidP="0039679C">
      <w:r>
        <w:t>Konkrétní</w:t>
      </w:r>
      <w:r w:rsidR="00EE2B1D">
        <w:t xml:space="preserve"> </w:t>
      </w:r>
      <w:r>
        <w:t xml:space="preserve">kompetence a odpovídající odpovědnost orgánů MAS a členů orgánů MAS jsou definovány v </w:t>
      </w:r>
      <w:r w:rsidRPr="002608A3">
        <w:t xml:space="preserve">kapitole </w:t>
      </w:r>
      <w:r w:rsidR="002608A3" w:rsidRPr="002608A3">
        <w:t>1.1.4</w:t>
      </w:r>
      <w:r w:rsidRPr="002608A3">
        <w:t xml:space="preserve"> Popis místního partnerství a jeho orgány. P</w:t>
      </w:r>
      <w:r w:rsidR="006E6E9A" w:rsidRPr="002608A3">
        <w:t>odrobně jsou pak specifikovány s</w:t>
      </w:r>
      <w:r w:rsidRPr="002608A3">
        <w:t>tatutem MAS Litomyšlsko o.p.s.</w:t>
      </w:r>
    </w:p>
    <w:p w:rsidR="00A43313" w:rsidRDefault="00B50E8D" w:rsidP="00D74D3A">
      <w:pPr>
        <w:pStyle w:val="Nadpis2"/>
      </w:pPr>
      <w:bookmarkStart w:id="11" w:name="_Toc430006485"/>
      <w:r>
        <w:t>Popis zapojení veřejnos</w:t>
      </w:r>
      <w:r w:rsidR="00A43313">
        <w:t>ti a členů místního partnerství</w:t>
      </w:r>
      <w:bookmarkEnd w:id="11"/>
    </w:p>
    <w:p w:rsidR="00193FBC" w:rsidRPr="002608A3" w:rsidRDefault="00193FBC" w:rsidP="00193FBC">
      <w:r>
        <w:t xml:space="preserve">V konkrétním případě </w:t>
      </w:r>
      <w:r w:rsidRPr="002608A3">
        <w:t>tvorby SCLLD MAS Litomyšlsko o.p.s. je v některých případech obtížné oddělit expertní a participativní část tý</w:t>
      </w:r>
      <w:r w:rsidR="002608A3" w:rsidRPr="002608A3">
        <w:t>mu</w:t>
      </w:r>
      <w:r w:rsidRPr="002608A3">
        <w:t xml:space="preserve">, a to například protože někteří zástupci </w:t>
      </w:r>
      <w:r w:rsidRPr="002608A3">
        <w:lastRenderedPageBreak/>
        <w:t>participujících složek disponují vysokou úrovní schopností a zkušeností uplatnitelných při tvorbě strategických dokumentů. Naopak někteří členové interních orgánů, které je možno označit za expertní, zastupují rovněž zájmy participujících subjektů.</w:t>
      </w:r>
    </w:p>
    <w:p w:rsidR="00193FBC" w:rsidRDefault="00193FBC" w:rsidP="00193FBC">
      <w:r w:rsidRPr="002608A3">
        <w:t xml:space="preserve">Základní rozdělení obou složek </w:t>
      </w:r>
      <w:r w:rsidR="002608A3" w:rsidRPr="002608A3">
        <w:t>týmu</w:t>
      </w:r>
      <w:r w:rsidRPr="002608A3">
        <w:t xml:space="preserve"> však popisují</w:t>
      </w:r>
      <w:r>
        <w:t xml:space="preserve"> následující podkapitoly.</w:t>
      </w:r>
    </w:p>
    <w:p w:rsidR="00B50E8D" w:rsidRDefault="00A43313" w:rsidP="00A43313">
      <w:pPr>
        <w:pStyle w:val="Nadpis3"/>
      </w:pPr>
      <w:bookmarkStart w:id="12" w:name="_Toc430006486"/>
      <w:r>
        <w:t>Expertní část</w:t>
      </w:r>
      <w:bookmarkEnd w:id="12"/>
    </w:p>
    <w:p w:rsidR="00193FBC" w:rsidRDefault="00193FBC" w:rsidP="009F4D7F">
      <w:r>
        <w:t>Expertní část týmu tvořícího SCLLD byla tvořena:</w:t>
      </w:r>
    </w:p>
    <w:p w:rsidR="00A43313" w:rsidRDefault="00193FBC" w:rsidP="00BC61AB">
      <w:pPr>
        <w:pStyle w:val="Odstavecseseznamem"/>
        <w:numPr>
          <w:ilvl w:val="0"/>
          <w:numId w:val="2"/>
        </w:numPr>
      </w:pPr>
      <w:r>
        <w:t>interními zaměstnanci MAS Litomyšlsko o.p.s.;</w:t>
      </w:r>
    </w:p>
    <w:p w:rsidR="00193FBC" w:rsidRDefault="00424F66" w:rsidP="00BC61AB">
      <w:pPr>
        <w:pStyle w:val="Odstavecseseznamem"/>
        <w:numPr>
          <w:ilvl w:val="0"/>
          <w:numId w:val="2"/>
        </w:numPr>
      </w:pPr>
      <w:r>
        <w:t xml:space="preserve">externí odborníci společnosti </w:t>
      </w:r>
      <w:r w:rsidR="00D33D0C">
        <w:rPr>
          <w:rStyle w:val="tsubjname"/>
        </w:rPr>
        <w:t>Metod Konzult IPM, s.r.o.</w:t>
      </w:r>
    </w:p>
    <w:p w:rsidR="00A43313" w:rsidRDefault="00A43313" w:rsidP="00A43313">
      <w:pPr>
        <w:pStyle w:val="Nadpis3"/>
      </w:pPr>
      <w:bookmarkStart w:id="13" w:name="_Toc430006487"/>
      <w:r>
        <w:t>Participativní část</w:t>
      </w:r>
      <w:bookmarkEnd w:id="13"/>
    </w:p>
    <w:p w:rsidR="00EF1901" w:rsidRDefault="00EF1901" w:rsidP="00EF1901">
      <w:r>
        <w:t>Participativní složky „týmu“ podílejícího se na vzniku SCLLD je možné rozdělit do dvou částí:</w:t>
      </w:r>
    </w:p>
    <w:p w:rsidR="00EF1901" w:rsidRDefault="00EF1901" w:rsidP="00BC61AB">
      <w:pPr>
        <w:pStyle w:val="Odstavecseseznamem"/>
        <w:numPr>
          <w:ilvl w:val="0"/>
          <w:numId w:val="3"/>
        </w:numPr>
      </w:pPr>
      <w:r>
        <w:t>Stabilní</w:t>
      </w:r>
    </w:p>
    <w:p w:rsidR="00EF1901" w:rsidRDefault="00EF1901" w:rsidP="00BC61AB">
      <w:pPr>
        <w:pStyle w:val="Odstavecseseznamem"/>
        <w:numPr>
          <w:ilvl w:val="0"/>
          <w:numId w:val="3"/>
        </w:numPr>
      </w:pPr>
      <w:r>
        <w:t>Operativní</w:t>
      </w:r>
    </w:p>
    <w:p w:rsidR="00424F66" w:rsidRDefault="00424F66" w:rsidP="00424F66">
      <w:r>
        <w:t>Stabilní část tvořila Pracovní skupina</w:t>
      </w:r>
      <w:r w:rsidR="00EE2B1D">
        <w:t xml:space="preserve"> </w:t>
      </w:r>
      <w:r>
        <w:t>„SCLLD“ (dříve Pracovní skupina</w:t>
      </w:r>
      <w:r w:rsidR="00EE2B1D">
        <w:t xml:space="preserve"> </w:t>
      </w:r>
      <w:r>
        <w:t>„SCLLD“), která byla tvořena celkem 12-ti</w:t>
      </w:r>
      <w:r w:rsidR="00EE2B1D">
        <w:t xml:space="preserve"> </w:t>
      </w:r>
      <w:r>
        <w:t>stabilními členy, mezi kterými byli zástupci jak veřejného, tak soukromého sektoru.</w:t>
      </w:r>
      <w:r w:rsidR="00624CCF">
        <w:t xml:space="preserve"> Jedná se osoby: Alena Bartošová, Pavel Boštík, Daniel Kučera, Zdeněk Mach, Markéta Tauerová, Pavel Pešata, Lucie Oherová, Radek Boštík, František Bartoš, Jan Macháček, Jiří </w:t>
      </w:r>
      <w:r w:rsidR="00457E54">
        <w:t>S</w:t>
      </w:r>
      <w:r w:rsidR="00624CCF">
        <w:t>toroženko.</w:t>
      </w:r>
    </w:p>
    <w:p w:rsidR="00D33D0C" w:rsidRDefault="00424F66" w:rsidP="00424F66">
      <w:r>
        <w:t xml:space="preserve">Operativně byly </w:t>
      </w:r>
      <w:r w:rsidR="00D33D0C">
        <w:t>zapojení také všichni zástupci obcí začleněných ve správním území MAS Litomyšlsko, zástupci podnikatelské sféry, zemědělských podnik</w:t>
      </w:r>
      <w:r w:rsidR="00457E54">
        <w:t>atelů i neziskových organizací.</w:t>
      </w:r>
    </w:p>
    <w:p w:rsidR="00F005EF" w:rsidRDefault="00F005EF" w:rsidP="00F005EF">
      <w:pPr>
        <w:pStyle w:val="Nadpis3"/>
      </w:pPr>
      <w:bookmarkStart w:id="14" w:name="_Toc430006488"/>
      <w:r>
        <w:t>Zapojení široké komunity</w:t>
      </w:r>
      <w:bookmarkEnd w:id="14"/>
    </w:p>
    <w:p w:rsidR="00F005EF" w:rsidRDefault="00F005EF" w:rsidP="00F005EF">
      <w:r>
        <w:t>Tento dokument nevychází pouze z myšlenek zástupců jednotlivých zájmových skupin komunity, ale především z podnětů a vstupů přímo od obyvatel a subjektů v regionu.</w:t>
      </w:r>
    </w:p>
    <w:p w:rsidR="008F1DF1" w:rsidRDefault="008F1DF1" w:rsidP="008F1DF1">
      <w:r>
        <w:t>Celkově bylo vyzváno k participaci na SCLLD:</w:t>
      </w:r>
    </w:p>
    <w:p w:rsidR="008F1DF1" w:rsidRDefault="008F1DF1" w:rsidP="008F1DF1">
      <w:pPr>
        <w:pStyle w:val="Odstavecseseznamem"/>
        <w:numPr>
          <w:ilvl w:val="0"/>
          <w:numId w:val="4"/>
        </w:numPr>
      </w:pPr>
      <w:r>
        <w:t>54 měst a obcí,</w:t>
      </w:r>
    </w:p>
    <w:p w:rsidR="008F1DF1" w:rsidRDefault="008F1DF1" w:rsidP="008F1DF1">
      <w:pPr>
        <w:pStyle w:val="Odstavecseseznamem"/>
        <w:numPr>
          <w:ilvl w:val="0"/>
          <w:numId w:val="4"/>
        </w:numPr>
      </w:pPr>
      <w:r>
        <w:lastRenderedPageBreak/>
        <w:t>cca 170 podnika</w:t>
      </w:r>
      <w:r w:rsidR="00692C0F">
        <w:t>telských a zemědělských subjektů</w:t>
      </w:r>
      <w:r>
        <w:t>,</w:t>
      </w:r>
    </w:p>
    <w:p w:rsidR="008F1DF1" w:rsidRDefault="008F1DF1" w:rsidP="008F1DF1">
      <w:pPr>
        <w:pStyle w:val="Odstavecseseznamem"/>
        <w:numPr>
          <w:ilvl w:val="0"/>
          <w:numId w:val="4"/>
        </w:numPr>
      </w:pPr>
      <w:r>
        <w:t>cca 40 nestátních neziskových organizací</w:t>
      </w:r>
      <w:r w:rsidR="00692C0F">
        <w:t>,</w:t>
      </w:r>
    </w:p>
    <w:p w:rsidR="008F1DF1" w:rsidRDefault="008F1DF1" w:rsidP="008F1DF1">
      <w:pPr>
        <w:pStyle w:val="Odstavecseseznamem"/>
        <w:numPr>
          <w:ilvl w:val="0"/>
          <w:numId w:val="4"/>
        </w:numPr>
      </w:pPr>
      <w:r>
        <w:t>široká veřejnost.</w:t>
      </w:r>
    </w:p>
    <w:p w:rsidR="00C32715" w:rsidRDefault="00C32715" w:rsidP="00C32715">
      <w:r>
        <w:t xml:space="preserve">Kontaktovány s výzvou k zapojení do komunitního plánování </w:t>
      </w:r>
      <w:r w:rsidR="00A3656C">
        <w:t xml:space="preserve">tak </w:t>
      </w:r>
      <w:r>
        <w:t>byly</w:t>
      </w:r>
      <w:r w:rsidR="00A3656C">
        <w:t xml:space="preserve"> osloveny</w:t>
      </w:r>
      <w:r>
        <w:t xml:space="preserve"> všechny subjekty, na které měla MAS Litomyšlsko o.p.s. k dispozici kontakt nebo jej bylo možné běžnými prostředky najít. Dále byly pozvánky na komunitní plánovací schůzky distribuovány do všech měst a obcí regionu a vyvěšovány na veřejné vývěsní tabule.</w:t>
      </w:r>
    </w:p>
    <w:p w:rsidR="00DD508C" w:rsidRDefault="00DD508C" w:rsidP="00DD508C">
      <w:r w:rsidRPr="002A77C9">
        <w:t xml:space="preserve">Pracovní verze strategického dokumentu rovněž </w:t>
      </w:r>
      <w:r w:rsidR="002A77C9" w:rsidRPr="002A77C9">
        <w:t>předpokládá veřejné</w:t>
      </w:r>
      <w:r w:rsidRPr="002A77C9">
        <w:t xml:space="preserve"> projednávání a připomínkování, a to různými formami zveřejnění na internetu, </w:t>
      </w:r>
      <w:r w:rsidR="006515E3" w:rsidRPr="002A77C9">
        <w:t>fyzické schůzky, apod</w:t>
      </w:r>
      <w:r w:rsidRPr="002A77C9">
        <w:t>.</w:t>
      </w:r>
    </w:p>
    <w:p w:rsidR="00F005EF" w:rsidRDefault="00F005EF" w:rsidP="00F005EF">
      <w:pPr>
        <w:pStyle w:val="Nadpis4"/>
      </w:pPr>
      <w:r w:rsidRPr="00F005EF">
        <w:t>Zapojení Obcí</w:t>
      </w:r>
    </w:p>
    <w:p w:rsidR="00F005EF" w:rsidRDefault="00D238FB" w:rsidP="00F005EF">
      <w:r>
        <w:t>Protože z minulého dotačního období již byly vytvořeny poměrně úzké vazby mezi MAS Litomyšlsko o.p.s. a zástupci jednotlivých měst a obcí, nebylo získávání podnětů od obcí obtížné.</w:t>
      </w:r>
    </w:p>
    <w:p w:rsidR="008F1DF1" w:rsidRDefault="008F1DF1" w:rsidP="00A60AC9">
      <w:pPr>
        <w:pStyle w:val="Odstavecseseznamem"/>
        <w:numPr>
          <w:ilvl w:val="0"/>
          <w:numId w:val="18"/>
        </w:numPr>
      </w:pPr>
      <w:r>
        <w:t>MAS Litomyšlsko o.p.s. disponovala již před zahájením prací na strategickém dokumentu množstvím podnětů, námětů, připomínek a plánovaných projektů, a to z dosavadní praxe (výzev, dotazů na podpořitelnost projektu...), spolupráce a komunikace se zástupci obcí.</w:t>
      </w:r>
    </w:p>
    <w:p w:rsidR="00D238FB" w:rsidRDefault="00D238FB" w:rsidP="00A60AC9">
      <w:pPr>
        <w:pStyle w:val="Odstavecseseznamem"/>
        <w:numPr>
          <w:ilvl w:val="0"/>
          <w:numId w:val="18"/>
        </w:numPr>
      </w:pPr>
      <w:r>
        <w:t>Před zahájením prací na samotném dokumentu SCLLD bylo realizováno dotazníkové šetření mezi zástupci obcí, které bylo následně aktualizováno a doplňováno, aby samotný dokument odrážel reálné potřeby regionu</w:t>
      </w:r>
      <w:r w:rsidR="002D6A98">
        <w:t xml:space="preserve"> (již v roce 2014)</w:t>
      </w:r>
      <w:r>
        <w:t>.</w:t>
      </w:r>
    </w:p>
    <w:p w:rsidR="00D238FB" w:rsidRDefault="00D238FB" w:rsidP="00A60AC9">
      <w:pPr>
        <w:pStyle w:val="Odstavecseseznamem"/>
        <w:numPr>
          <w:ilvl w:val="0"/>
          <w:numId w:val="18"/>
        </w:numPr>
      </w:pPr>
      <w:r>
        <w:t>K informování zástupců obcí a projednávání záměrů bylo využíváno také neformálních schůzek realizovaných u příležitosti některých jednání valné hromady Mikroregionu Litomyšlsko, kde se pravidelně schází většina starostů z regionu.</w:t>
      </w:r>
    </w:p>
    <w:p w:rsidR="00D238FB" w:rsidRDefault="00D238FB" w:rsidP="00A60AC9">
      <w:pPr>
        <w:pStyle w:val="Odstavecseseznamem"/>
        <w:numPr>
          <w:ilvl w:val="0"/>
          <w:numId w:val="18"/>
        </w:numPr>
      </w:pPr>
      <w:r>
        <w:t>Dále bylo využíváno osobních individuálních schůzek a dotazů, emailové komunikace i telefonických forem dotazování a konzultací.</w:t>
      </w:r>
    </w:p>
    <w:p w:rsidR="00D238FB" w:rsidRPr="00F005EF" w:rsidRDefault="008F1DF1" w:rsidP="00A60AC9">
      <w:pPr>
        <w:pStyle w:val="Odstavecseseznamem"/>
        <w:numPr>
          <w:ilvl w:val="0"/>
          <w:numId w:val="18"/>
        </w:numPr>
      </w:pPr>
      <w:r>
        <w:t>Potřeby jednotlivých obcí byly rovněž zohledněny zapracováním výsledků lokálních obecních strategických dokumentů, které odrážejí primární potřeby obyvatel obcí.</w:t>
      </w:r>
    </w:p>
    <w:p w:rsidR="00F005EF" w:rsidRDefault="009003A4" w:rsidP="00F005EF">
      <w:pPr>
        <w:pStyle w:val="Nadpis4"/>
      </w:pPr>
      <w:r>
        <w:lastRenderedPageBreak/>
        <w:t>Zapojení podnikatelských a z</w:t>
      </w:r>
      <w:r w:rsidR="00F005EF" w:rsidRPr="00F005EF">
        <w:t xml:space="preserve">emědělských </w:t>
      </w:r>
      <w:r>
        <w:t>subjektů</w:t>
      </w:r>
    </w:p>
    <w:p w:rsidR="00F005EF" w:rsidRDefault="008F1DF1" w:rsidP="00F005EF">
      <w:r>
        <w:t>Podobně jako v případě obcí, i zde bylo pro přípravu strategického dokumentu využito námětů plynoucích z dosavadní praxe a komunikace ze zemědělskými družstvy, firmami a podnikateli. Dále byly podniknuty další kroky.</w:t>
      </w:r>
    </w:p>
    <w:p w:rsidR="008F1DF1" w:rsidRDefault="008F1DF1" w:rsidP="00A60AC9">
      <w:pPr>
        <w:pStyle w:val="Odstavecseseznamem"/>
        <w:numPr>
          <w:ilvl w:val="0"/>
          <w:numId w:val="19"/>
        </w:numPr>
      </w:pPr>
      <w:r>
        <w:t xml:space="preserve">Bylo realizováno dotazníkové šetření, </w:t>
      </w:r>
      <w:r w:rsidR="002D6A98">
        <w:t>kde byly zemědělské</w:t>
      </w:r>
      <w:r w:rsidR="009003A4">
        <w:t xml:space="preserve"> a podnikatelské</w:t>
      </w:r>
      <w:r w:rsidR="002D6A98">
        <w:t xml:space="preserve"> subjekty osloveny spolu se zpravodajem MAS Litomyšlsko o.p.s. a pomocí emailové výzvy (již v roce 2014).</w:t>
      </w:r>
    </w:p>
    <w:p w:rsidR="002D6A98" w:rsidRDefault="002D6A98" w:rsidP="00A60AC9">
      <w:pPr>
        <w:pStyle w:val="Odstavecseseznamem"/>
        <w:numPr>
          <w:ilvl w:val="0"/>
          <w:numId w:val="19"/>
        </w:numPr>
      </w:pPr>
      <w:r>
        <w:t>V květnu 2014 byly ta</w:t>
      </w:r>
      <w:r w:rsidR="00A3656C">
        <w:t>ké realizovány schůzky</w:t>
      </w:r>
      <w:r>
        <w:t xml:space="preserve"> s tématem SCLLD z pohledu zemědělských</w:t>
      </w:r>
      <w:r w:rsidR="009003A4">
        <w:t xml:space="preserve"> i dalších</w:t>
      </w:r>
      <w:r>
        <w:t xml:space="preserve"> podnikatelů a jejich potřeb a záměrů, které ses v SCLLD odrážejí.</w:t>
      </w:r>
      <w:r w:rsidR="009003A4">
        <w:t xml:space="preserve"> Bylo pozváno cca 170 subjektů přímo (emailem) a velké množství také prostřednictvím starostů měst a obcí nebo informacemi na vývěsních tabulích.</w:t>
      </w:r>
    </w:p>
    <w:p w:rsidR="002D6A98" w:rsidRDefault="002D6A98" w:rsidP="00A60AC9">
      <w:pPr>
        <w:pStyle w:val="Odstavecseseznamem"/>
        <w:numPr>
          <w:ilvl w:val="0"/>
          <w:numId w:val="19"/>
        </w:numPr>
      </w:pPr>
      <w:r>
        <w:t>MAS Litomyšlsko rovněž spolupracuje s Asociací soukromých zemědělců regionu Svitavy a Ústí nad Orlicí, odkud také pramení řada vstupů pro SCLLD.</w:t>
      </w:r>
    </w:p>
    <w:p w:rsidR="00A3656C" w:rsidRDefault="00A3656C" w:rsidP="00A60AC9">
      <w:pPr>
        <w:pStyle w:val="Odstavecseseznamem"/>
        <w:numPr>
          <w:ilvl w:val="0"/>
          <w:numId w:val="19"/>
        </w:numPr>
      </w:pPr>
      <w:r>
        <w:t>Zemědělská družstva a další subjekty byly dále oslovovány emailovou formou s konkrétními dotazy.</w:t>
      </w:r>
    </w:p>
    <w:p w:rsidR="00F005EF" w:rsidRDefault="00F005EF" w:rsidP="00F005EF">
      <w:pPr>
        <w:pStyle w:val="Nadpis4"/>
      </w:pPr>
      <w:r w:rsidRPr="00F005EF">
        <w:t>Zapojení neziskových organizací</w:t>
      </w:r>
    </w:p>
    <w:p w:rsidR="00F005EF" w:rsidRDefault="002D6A98" w:rsidP="00F005EF">
      <w:r>
        <w:t xml:space="preserve">Také v případě nestátních neziskových organizací měla MAS Litomyšlsko o.p.s. již informační základ pro SCLLD vytvořený vlivem praxe (předchozích výzev, neuspokojených nebo poptávaných projektů...), spolupráce a komunikace. </w:t>
      </w:r>
    </w:p>
    <w:p w:rsidR="009003A4" w:rsidRDefault="009003A4" w:rsidP="00A60AC9">
      <w:pPr>
        <w:pStyle w:val="Odstavecseseznamem"/>
        <w:numPr>
          <w:ilvl w:val="0"/>
          <w:numId w:val="20"/>
        </w:numPr>
      </w:pPr>
      <w:r>
        <w:t>Rovněž neziskové organizace byly vyzvány k part</w:t>
      </w:r>
      <w:r w:rsidR="00457E54">
        <w:t>icipaci na SCLLD formou dotazník</w:t>
      </w:r>
      <w:r>
        <w:t>ového šetření, které bylo postupně aktualizováno a doplňováno.</w:t>
      </w:r>
    </w:p>
    <w:p w:rsidR="009003A4" w:rsidRPr="00F005EF" w:rsidRDefault="009003A4" w:rsidP="00A60AC9">
      <w:pPr>
        <w:pStyle w:val="Odstavecseseznamem"/>
        <w:numPr>
          <w:ilvl w:val="0"/>
          <w:numId w:val="20"/>
        </w:numPr>
      </w:pPr>
      <w:r>
        <w:t>V květnu 2014 také proběhla setkání s neziskovými organizacemi</w:t>
      </w:r>
      <w:r w:rsidR="007D7ABE">
        <w:t xml:space="preserve"> na téma SCLLD</w:t>
      </w:r>
      <w:r>
        <w:t xml:space="preserve"> (pozváno cca 40 subjektů přímo emailem a velké množství také prostřednictvím starostů měst a obcí nebo informacemi na vývěsních tabulích).</w:t>
      </w:r>
    </w:p>
    <w:p w:rsidR="00F005EF" w:rsidRDefault="00F005EF" w:rsidP="00F005EF">
      <w:pPr>
        <w:pStyle w:val="Nadpis4"/>
      </w:pPr>
      <w:r w:rsidRPr="00F005EF">
        <w:t>Zapojení obyvatel</w:t>
      </w:r>
    </w:p>
    <w:p w:rsidR="00F005EF" w:rsidRDefault="00F005EF" w:rsidP="00F005EF">
      <w:r>
        <w:t xml:space="preserve">MAS Litomyšlsko o.p.s. realizovala v přípravném období před zahájením samotných prací na dokumentu dotazníkové šetření, do kterého se snažila zapojit co nejvíce respondentů. K </w:t>
      </w:r>
      <w:r>
        <w:lastRenderedPageBreak/>
        <w:t>tomuto využila již vytvořeného povědomí a také vytvořených informačních a distribučních kanálů.</w:t>
      </w:r>
    </w:p>
    <w:p w:rsidR="00F005EF" w:rsidRDefault="00F005EF" w:rsidP="00F005EF">
      <w:r>
        <w:t>Dotazníky byly občanům distribuovány prostřednictvím jednotlivých obecních úřadů</w:t>
      </w:r>
      <w:r w:rsidR="00D238FB">
        <w:t xml:space="preserve"> spolu se zpravodajem MAS Litomyšlsko o.p.s., který již v minulosti byl takto distribuován a již si získal své čtenáře.</w:t>
      </w:r>
    </w:p>
    <w:p w:rsidR="00D238FB" w:rsidRPr="00F005EF" w:rsidRDefault="00D238FB" w:rsidP="00F005EF">
      <w:r>
        <w:t>Dále byl</w:t>
      </w:r>
      <w:r w:rsidR="00675042">
        <w:t>i</w:t>
      </w:r>
      <w:r>
        <w:t xml:space="preserve"> obyvatelé vyzýváni k vyplnění dotazníků umístěných na internetových stránkách MAS a také na profilu na Facebooku.</w:t>
      </w:r>
    </w:p>
    <w:p w:rsidR="00B50E8D" w:rsidRDefault="00B50E8D" w:rsidP="00D74D3A">
      <w:pPr>
        <w:pStyle w:val="Nadpis2"/>
      </w:pPr>
      <w:bookmarkStart w:id="15" w:name="_Toc430006489"/>
      <w:r>
        <w:t>Přehled členů týmu pro p</w:t>
      </w:r>
      <w:r w:rsidR="00D33D0C">
        <w:t>řípravu a zpracování strategie.</w:t>
      </w:r>
      <w:bookmarkEnd w:id="15"/>
    </w:p>
    <w:tbl>
      <w:tblPr>
        <w:tblW w:w="8300" w:type="dxa"/>
        <w:tblInd w:w="55" w:type="dxa"/>
        <w:tblCellMar>
          <w:left w:w="70" w:type="dxa"/>
          <w:right w:w="70" w:type="dxa"/>
        </w:tblCellMar>
        <w:tblLook w:val="04A0"/>
      </w:tblPr>
      <w:tblGrid>
        <w:gridCol w:w="2380"/>
        <w:gridCol w:w="2820"/>
        <w:gridCol w:w="3100"/>
      </w:tblGrid>
      <w:tr w:rsidR="00821B80" w:rsidRPr="00821B80" w:rsidTr="00821B80">
        <w:trPr>
          <w:trHeight w:val="300"/>
        </w:trPr>
        <w:tc>
          <w:tcPr>
            <w:tcW w:w="2380" w:type="dxa"/>
            <w:tcBorders>
              <w:top w:val="nil"/>
              <w:left w:val="nil"/>
              <w:bottom w:val="nil"/>
              <w:right w:val="nil"/>
            </w:tcBorders>
            <w:shd w:val="clear" w:color="000000" w:fill="17375D"/>
            <w:noWrap/>
            <w:hideMark/>
          </w:tcPr>
          <w:p w:rsidR="00821B80" w:rsidRPr="00821B80" w:rsidRDefault="00821B80" w:rsidP="00821B80">
            <w:pPr>
              <w:suppressAutoHyphens w:val="0"/>
              <w:jc w:val="center"/>
              <w:rPr>
                <w:rFonts w:ascii="Calibri" w:hAnsi="Calibri" w:cs="Calibri"/>
                <w:b/>
                <w:bCs/>
                <w:color w:val="FFFFFF"/>
                <w:szCs w:val="22"/>
                <w:lang w:eastAsia="cs-CZ"/>
              </w:rPr>
            </w:pPr>
            <w:r w:rsidRPr="00821B80">
              <w:rPr>
                <w:rFonts w:ascii="Calibri" w:hAnsi="Calibri" w:cs="Calibri"/>
                <w:b/>
                <w:bCs/>
                <w:color w:val="FFFFFF"/>
                <w:szCs w:val="22"/>
                <w:lang w:eastAsia="cs-CZ"/>
              </w:rPr>
              <w:t>Jméno</w:t>
            </w:r>
          </w:p>
        </w:tc>
        <w:tc>
          <w:tcPr>
            <w:tcW w:w="2820" w:type="dxa"/>
            <w:tcBorders>
              <w:top w:val="nil"/>
              <w:left w:val="nil"/>
              <w:bottom w:val="nil"/>
              <w:right w:val="nil"/>
            </w:tcBorders>
            <w:shd w:val="clear" w:color="000000" w:fill="17375D"/>
            <w:noWrap/>
            <w:hideMark/>
          </w:tcPr>
          <w:p w:rsidR="00821B80" w:rsidRPr="00821B80" w:rsidRDefault="00821B80" w:rsidP="00821B80">
            <w:pPr>
              <w:suppressAutoHyphens w:val="0"/>
              <w:jc w:val="center"/>
              <w:rPr>
                <w:rFonts w:ascii="Calibri" w:hAnsi="Calibri" w:cs="Calibri"/>
                <w:b/>
                <w:bCs/>
                <w:color w:val="FFFFFF"/>
                <w:szCs w:val="22"/>
                <w:lang w:eastAsia="cs-CZ"/>
              </w:rPr>
            </w:pPr>
            <w:r w:rsidRPr="00821B80">
              <w:rPr>
                <w:rFonts w:ascii="Calibri" w:hAnsi="Calibri" w:cs="Calibri"/>
                <w:b/>
                <w:bCs/>
                <w:color w:val="FFFFFF"/>
                <w:szCs w:val="22"/>
                <w:lang w:eastAsia="cs-CZ"/>
              </w:rPr>
              <w:t>Subjekt</w:t>
            </w:r>
          </w:p>
        </w:tc>
        <w:tc>
          <w:tcPr>
            <w:tcW w:w="3100" w:type="dxa"/>
            <w:tcBorders>
              <w:top w:val="nil"/>
              <w:left w:val="nil"/>
              <w:bottom w:val="nil"/>
              <w:right w:val="nil"/>
            </w:tcBorders>
            <w:shd w:val="clear" w:color="000000" w:fill="17375D"/>
            <w:hideMark/>
          </w:tcPr>
          <w:p w:rsidR="00821B80" w:rsidRPr="00821B80" w:rsidRDefault="00821B80" w:rsidP="00821B80">
            <w:pPr>
              <w:suppressAutoHyphens w:val="0"/>
              <w:jc w:val="center"/>
              <w:rPr>
                <w:rFonts w:ascii="Calibri" w:hAnsi="Calibri" w:cs="Calibri"/>
                <w:b/>
                <w:bCs/>
                <w:color w:val="FFFFFF"/>
                <w:szCs w:val="22"/>
                <w:lang w:eastAsia="cs-CZ"/>
              </w:rPr>
            </w:pPr>
            <w:r w:rsidRPr="00821B80">
              <w:rPr>
                <w:rFonts w:ascii="Calibri" w:hAnsi="Calibri" w:cs="Calibri"/>
                <w:b/>
                <w:bCs/>
                <w:color w:val="FFFFFF"/>
                <w:szCs w:val="22"/>
                <w:lang w:eastAsia="cs-CZ"/>
              </w:rPr>
              <w:t>Role a kompetence</w:t>
            </w:r>
          </w:p>
        </w:tc>
      </w:tr>
      <w:tr w:rsidR="00821B80" w:rsidRPr="00821B80" w:rsidTr="00821B80">
        <w:trPr>
          <w:trHeight w:val="900"/>
        </w:trPr>
        <w:tc>
          <w:tcPr>
            <w:tcW w:w="2380" w:type="dxa"/>
            <w:tcBorders>
              <w:top w:val="nil"/>
              <w:left w:val="nil"/>
              <w:bottom w:val="nil"/>
              <w:right w:val="nil"/>
            </w:tcBorders>
            <w:shd w:val="clear" w:color="000000" w:fill="8DB4E3"/>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Ing. Petr Vomáčka</w:t>
            </w:r>
          </w:p>
        </w:tc>
        <w:tc>
          <w:tcPr>
            <w:tcW w:w="2820" w:type="dxa"/>
            <w:tcBorders>
              <w:top w:val="nil"/>
              <w:left w:val="nil"/>
              <w:bottom w:val="nil"/>
              <w:right w:val="nil"/>
            </w:tcBorders>
            <w:shd w:val="clear" w:color="000000" w:fill="8DB4E3"/>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MAS Litomyšlsko o.p.s.</w:t>
            </w:r>
          </w:p>
        </w:tc>
        <w:tc>
          <w:tcPr>
            <w:tcW w:w="3100" w:type="dxa"/>
            <w:tcBorders>
              <w:top w:val="nil"/>
              <w:left w:val="nil"/>
              <w:bottom w:val="nil"/>
              <w:right w:val="nil"/>
            </w:tcBorders>
            <w:shd w:val="clear" w:color="000000" w:fill="8DB4E3"/>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Koordinátor týmu (koordinace týmu, metodické vedení, tvorba SCLLD)</w:t>
            </w:r>
          </w:p>
        </w:tc>
      </w:tr>
      <w:tr w:rsidR="00821B80" w:rsidRPr="00821B80" w:rsidTr="00821B80">
        <w:trPr>
          <w:trHeight w:val="300"/>
        </w:trPr>
        <w:tc>
          <w:tcPr>
            <w:tcW w:w="2380" w:type="dxa"/>
            <w:tcBorders>
              <w:top w:val="nil"/>
              <w:left w:val="nil"/>
              <w:bottom w:val="nil"/>
              <w:right w:val="nil"/>
            </w:tcBorders>
            <w:shd w:val="clear" w:color="000000" w:fill="DBE5F1"/>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Jana Dočkalová</w:t>
            </w:r>
          </w:p>
        </w:tc>
        <w:tc>
          <w:tcPr>
            <w:tcW w:w="2820" w:type="dxa"/>
            <w:tcBorders>
              <w:top w:val="nil"/>
              <w:left w:val="nil"/>
              <w:bottom w:val="nil"/>
              <w:right w:val="nil"/>
            </w:tcBorders>
            <w:shd w:val="clear" w:color="000000" w:fill="DBE5F1"/>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MAS Litomyšlsko o.p.s.</w:t>
            </w:r>
          </w:p>
        </w:tc>
        <w:tc>
          <w:tcPr>
            <w:tcW w:w="3100" w:type="dxa"/>
            <w:tcBorders>
              <w:top w:val="nil"/>
              <w:left w:val="nil"/>
              <w:bottom w:val="nil"/>
              <w:right w:val="nil"/>
            </w:tcBorders>
            <w:shd w:val="clear" w:color="000000" w:fill="DBE5F1"/>
            <w:hideMark/>
          </w:tcPr>
          <w:p w:rsidR="00821B80" w:rsidRPr="00821B80" w:rsidRDefault="003D0168" w:rsidP="00821B80">
            <w:pPr>
              <w:suppressAutoHyphens w:val="0"/>
              <w:jc w:val="left"/>
              <w:rPr>
                <w:rFonts w:ascii="Calibri" w:hAnsi="Calibri" w:cs="Calibri"/>
                <w:color w:val="000000"/>
                <w:szCs w:val="22"/>
                <w:lang w:eastAsia="cs-CZ"/>
              </w:rPr>
            </w:pPr>
            <w:r>
              <w:rPr>
                <w:rFonts w:ascii="Calibri" w:hAnsi="Calibri" w:cs="Calibri"/>
                <w:color w:val="000000"/>
                <w:szCs w:val="22"/>
                <w:lang w:eastAsia="cs-CZ"/>
              </w:rPr>
              <w:t>Administrativní a terénní spolupráce, sběr a tvorba podkladů.</w:t>
            </w:r>
          </w:p>
        </w:tc>
      </w:tr>
      <w:tr w:rsidR="00821B80" w:rsidRPr="00821B80" w:rsidTr="00821B80">
        <w:trPr>
          <w:trHeight w:val="300"/>
        </w:trPr>
        <w:tc>
          <w:tcPr>
            <w:tcW w:w="2380" w:type="dxa"/>
            <w:tcBorders>
              <w:top w:val="nil"/>
              <w:left w:val="nil"/>
              <w:bottom w:val="nil"/>
              <w:right w:val="nil"/>
            </w:tcBorders>
            <w:shd w:val="clear" w:color="000000" w:fill="8DB4E3"/>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Ivona Cacková</w:t>
            </w:r>
          </w:p>
        </w:tc>
        <w:tc>
          <w:tcPr>
            <w:tcW w:w="2820" w:type="dxa"/>
            <w:tcBorders>
              <w:top w:val="nil"/>
              <w:left w:val="nil"/>
              <w:bottom w:val="nil"/>
              <w:right w:val="nil"/>
            </w:tcBorders>
            <w:shd w:val="clear" w:color="000000" w:fill="8DB4E3"/>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MAS Litomyšlsko o.p.s.</w:t>
            </w:r>
          </w:p>
        </w:tc>
        <w:tc>
          <w:tcPr>
            <w:tcW w:w="3100" w:type="dxa"/>
            <w:tcBorders>
              <w:top w:val="nil"/>
              <w:left w:val="nil"/>
              <w:bottom w:val="nil"/>
              <w:right w:val="nil"/>
            </w:tcBorders>
            <w:shd w:val="clear" w:color="000000" w:fill="8DB4E3"/>
            <w:hideMark/>
          </w:tcPr>
          <w:p w:rsidR="00821B80" w:rsidRPr="00821B80" w:rsidRDefault="003D0168" w:rsidP="00821B80">
            <w:pPr>
              <w:suppressAutoHyphens w:val="0"/>
              <w:jc w:val="left"/>
              <w:rPr>
                <w:rFonts w:ascii="Calibri" w:hAnsi="Calibri" w:cs="Calibri"/>
                <w:color w:val="000000"/>
                <w:szCs w:val="22"/>
                <w:lang w:eastAsia="cs-CZ"/>
              </w:rPr>
            </w:pPr>
            <w:r>
              <w:rPr>
                <w:rFonts w:ascii="Calibri" w:hAnsi="Calibri" w:cs="Calibri"/>
                <w:color w:val="000000"/>
                <w:szCs w:val="22"/>
                <w:lang w:eastAsia="cs-CZ"/>
              </w:rPr>
              <w:t>Administrativní a terénní spolupráce, sběr a tvorba podkladů.</w:t>
            </w:r>
          </w:p>
        </w:tc>
      </w:tr>
      <w:tr w:rsidR="00821B80" w:rsidRPr="00821B80" w:rsidTr="00821B80">
        <w:trPr>
          <w:trHeight w:val="900"/>
        </w:trPr>
        <w:tc>
          <w:tcPr>
            <w:tcW w:w="2380" w:type="dxa"/>
            <w:tcBorders>
              <w:top w:val="nil"/>
              <w:left w:val="nil"/>
              <w:bottom w:val="nil"/>
              <w:right w:val="nil"/>
            </w:tcBorders>
            <w:shd w:val="clear" w:color="000000" w:fill="DBE5F1"/>
            <w:noWrap/>
            <w:hideMark/>
          </w:tcPr>
          <w:p w:rsidR="00821B80" w:rsidRPr="00821B80" w:rsidRDefault="00D74D3A" w:rsidP="00821B80">
            <w:pPr>
              <w:suppressAutoHyphens w:val="0"/>
              <w:jc w:val="left"/>
              <w:rPr>
                <w:rFonts w:ascii="Calibri" w:hAnsi="Calibri" w:cs="Calibri"/>
                <w:color w:val="000000"/>
                <w:szCs w:val="22"/>
                <w:lang w:eastAsia="cs-CZ"/>
              </w:rPr>
            </w:pPr>
            <w:r>
              <w:rPr>
                <w:rFonts w:ascii="Calibri" w:hAnsi="Calibri" w:cs="Calibri"/>
                <w:color w:val="000000"/>
                <w:szCs w:val="22"/>
                <w:lang w:eastAsia="cs-CZ"/>
              </w:rPr>
              <w:t>Lenka V</w:t>
            </w:r>
            <w:r w:rsidR="00821B80" w:rsidRPr="00821B80">
              <w:rPr>
                <w:rFonts w:ascii="Calibri" w:hAnsi="Calibri" w:cs="Calibri"/>
                <w:color w:val="000000"/>
                <w:szCs w:val="22"/>
                <w:lang w:eastAsia="cs-CZ"/>
              </w:rPr>
              <w:t>omáčková</w:t>
            </w:r>
          </w:p>
        </w:tc>
        <w:tc>
          <w:tcPr>
            <w:tcW w:w="2820" w:type="dxa"/>
            <w:tcBorders>
              <w:top w:val="nil"/>
              <w:left w:val="nil"/>
              <w:bottom w:val="nil"/>
              <w:right w:val="nil"/>
            </w:tcBorders>
            <w:shd w:val="clear" w:color="000000" w:fill="DBE5F1"/>
            <w:noWrap/>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MAS Litomyšlsko o.p.s.</w:t>
            </w:r>
          </w:p>
        </w:tc>
        <w:tc>
          <w:tcPr>
            <w:tcW w:w="3100" w:type="dxa"/>
            <w:tcBorders>
              <w:top w:val="nil"/>
              <w:left w:val="nil"/>
              <w:bottom w:val="nil"/>
              <w:right w:val="nil"/>
            </w:tcBorders>
            <w:shd w:val="clear" w:color="000000" w:fill="DBE5F1"/>
            <w:hideMark/>
          </w:tcPr>
          <w:p w:rsidR="00821B80" w:rsidRPr="00821B80" w:rsidRDefault="00821B80" w:rsidP="00821B80">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Grafik</w:t>
            </w:r>
            <w:r w:rsidR="002A77C9">
              <w:rPr>
                <w:rFonts w:ascii="Calibri" w:hAnsi="Calibri" w:cs="Calibri"/>
                <w:color w:val="000000"/>
                <w:szCs w:val="22"/>
                <w:lang w:eastAsia="cs-CZ"/>
              </w:rPr>
              <w:t>a</w:t>
            </w:r>
            <w:r w:rsidRPr="00821B80">
              <w:rPr>
                <w:rFonts w:ascii="Calibri" w:hAnsi="Calibri" w:cs="Calibri"/>
                <w:color w:val="000000"/>
                <w:szCs w:val="22"/>
                <w:lang w:eastAsia="cs-CZ"/>
              </w:rPr>
              <w:t xml:space="preserve"> (letáky, plakáty, pozvánky, grafické prvky v SCLLD)</w:t>
            </w:r>
          </w:p>
        </w:tc>
      </w:tr>
      <w:tr w:rsidR="003D0168" w:rsidRPr="00821B80" w:rsidTr="00821B80">
        <w:trPr>
          <w:trHeight w:val="300"/>
        </w:trPr>
        <w:tc>
          <w:tcPr>
            <w:tcW w:w="2380" w:type="dxa"/>
            <w:tcBorders>
              <w:top w:val="nil"/>
              <w:left w:val="nil"/>
              <w:bottom w:val="nil"/>
              <w:right w:val="nil"/>
            </w:tcBorders>
            <w:shd w:val="clear" w:color="000000" w:fill="8DB4E3"/>
            <w:hideMark/>
          </w:tcPr>
          <w:p w:rsidR="003D0168" w:rsidRDefault="003D0168">
            <w:r>
              <w:rPr>
                <w:rFonts w:ascii="Calibri" w:hAnsi="Calibri" w:cs="Calibri"/>
                <w:color w:val="000000"/>
                <w:szCs w:val="22"/>
                <w:lang w:eastAsia="cs-CZ"/>
              </w:rPr>
              <w:t>Bc. Veronika Eliášová</w:t>
            </w:r>
          </w:p>
        </w:tc>
        <w:tc>
          <w:tcPr>
            <w:tcW w:w="2820" w:type="dxa"/>
            <w:tcBorders>
              <w:top w:val="nil"/>
              <w:left w:val="nil"/>
              <w:bottom w:val="nil"/>
              <w:right w:val="nil"/>
            </w:tcBorders>
            <w:shd w:val="clear" w:color="000000" w:fill="8DB4E3"/>
            <w:hideMark/>
          </w:tcPr>
          <w:p w:rsidR="003D0168" w:rsidRDefault="003D0168">
            <w:r w:rsidRPr="007057AB">
              <w:rPr>
                <w:rFonts w:ascii="Calibri" w:hAnsi="Calibri" w:cs="Calibri"/>
                <w:color w:val="000000"/>
                <w:szCs w:val="22"/>
                <w:lang w:eastAsia="cs-CZ"/>
              </w:rPr>
              <w:t>MAS Litomyšlsko o.p.s.</w:t>
            </w:r>
          </w:p>
        </w:tc>
        <w:tc>
          <w:tcPr>
            <w:tcW w:w="3100" w:type="dxa"/>
            <w:tcBorders>
              <w:top w:val="nil"/>
              <w:left w:val="nil"/>
              <w:bottom w:val="nil"/>
              <w:right w:val="nil"/>
            </w:tcBorders>
            <w:shd w:val="clear" w:color="000000" w:fill="8DB4E3"/>
            <w:hideMark/>
          </w:tcPr>
          <w:p w:rsidR="003D0168" w:rsidRPr="00821B80" w:rsidRDefault="003D0168" w:rsidP="00821B80">
            <w:pPr>
              <w:suppressAutoHyphens w:val="0"/>
              <w:jc w:val="left"/>
              <w:rPr>
                <w:rFonts w:ascii="Calibri" w:hAnsi="Calibri" w:cs="Calibri"/>
                <w:color w:val="000000"/>
                <w:szCs w:val="22"/>
                <w:lang w:eastAsia="cs-CZ"/>
              </w:rPr>
            </w:pPr>
            <w:r>
              <w:rPr>
                <w:rFonts w:ascii="Calibri" w:hAnsi="Calibri" w:cs="Calibri"/>
                <w:color w:val="000000"/>
                <w:szCs w:val="22"/>
                <w:lang w:eastAsia="cs-CZ"/>
              </w:rPr>
              <w:t>Tvorba SCLLD</w:t>
            </w:r>
          </w:p>
        </w:tc>
      </w:tr>
      <w:tr w:rsidR="003D0168" w:rsidRPr="00A2607C" w:rsidTr="00D5586B">
        <w:trPr>
          <w:trHeight w:val="300"/>
        </w:trPr>
        <w:tc>
          <w:tcPr>
            <w:tcW w:w="2380" w:type="dxa"/>
            <w:tcBorders>
              <w:top w:val="nil"/>
              <w:left w:val="nil"/>
              <w:bottom w:val="nil"/>
              <w:right w:val="nil"/>
            </w:tcBorders>
            <w:shd w:val="clear" w:color="000000" w:fill="DBE5F1"/>
            <w:noWrap/>
            <w:hideMark/>
          </w:tcPr>
          <w:p w:rsidR="003D0168" w:rsidRPr="00821B80" w:rsidRDefault="003D0168" w:rsidP="00D5586B">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 </w:t>
            </w:r>
            <w:r>
              <w:rPr>
                <w:rFonts w:ascii="Calibri" w:hAnsi="Calibri" w:cs="Calibri"/>
                <w:color w:val="000000"/>
                <w:szCs w:val="22"/>
                <w:lang w:eastAsia="cs-CZ"/>
              </w:rPr>
              <w:t>Ing. Luděk Beneš</w:t>
            </w:r>
          </w:p>
        </w:tc>
        <w:tc>
          <w:tcPr>
            <w:tcW w:w="2820" w:type="dxa"/>
            <w:tcBorders>
              <w:top w:val="nil"/>
              <w:left w:val="nil"/>
              <w:bottom w:val="nil"/>
              <w:right w:val="nil"/>
            </w:tcBorders>
            <w:shd w:val="clear" w:color="auto" w:fill="DBE5F1" w:themeFill="accent1" w:themeFillTint="33"/>
            <w:hideMark/>
          </w:tcPr>
          <w:p w:rsidR="003D0168" w:rsidRPr="00821B80" w:rsidRDefault="003D0168" w:rsidP="00D5586B">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Metod Konzult IPM, s.r.o.</w:t>
            </w:r>
          </w:p>
        </w:tc>
        <w:tc>
          <w:tcPr>
            <w:tcW w:w="3100" w:type="dxa"/>
            <w:tcBorders>
              <w:top w:val="nil"/>
              <w:left w:val="nil"/>
              <w:bottom w:val="nil"/>
              <w:right w:val="nil"/>
            </w:tcBorders>
            <w:shd w:val="clear" w:color="auto" w:fill="DBE5F1" w:themeFill="accent1" w:themeFillTint="33"/>
            <w:hideMark/>
          </w:tcPr>
          <w:p w:rsidR="003D0168" w:rsidRPr="00821B80" w:rsidRDefault="003D0168" w:rsidP="00D5586B">
            <w:pPr>
              <w:suppressAutoHyphens w:val="0"/>
              <w:jc w:val="left"/>
              <w:rPr>
                <w:rFonts w:ascii="Calibri" w:hAnsi="Calibri" w:cs="Calibri"/>
                <w:color w:val="000000"/>
                <w:szCs w:val="22"/>
                <w:lang w:eastAsia="cs-CZ"/>
              </w:rPr>
            </w:pPr>
            <w:r w:rsidRPr="00821B80">
              <w:rPr>
                <w:rFonts w:ascii="Calibri" w:hAnsi="Calibri" w:cs="Calibri"/>
                <w:color w:val="000000"/>
                <w:szCs w:val="22"/>
                <w:lang w:eastAsia="cs-CZ"/>
              </w:rPr>
              <w:t>Metodická podpora týmu</w:t>
            </w:r>
          </w:p>
        </w:tc>
      </w:tr>
    </w:tbl>
    <w:p w:rsidR="00D74D3A" w:rsidRDefault="00D74D3A" w:rsidP="00D74D3A">
      <w:pPr>
        <w:pStyle w:val="Nadpis2"/>
      </w:pPr>
      <w:bookmarkStart w:id="16" w:name="_Toc430006490"/>
      <w:r>
        <w:t>Popis způsobu vyhodnocování</w:t>
      </w:r>
      <w:r w:rsidR="00B50E8D">
        <w:t xml:space="preserve"> ISÚ</w:t>
      </w:r>
      <w:bookmarkEnd w:id="16"/>
    </w:p>
    <w:p w:rsidR="00D813C0" w:rsidRDefault="00D813C0" w:rsidP="00D813C0">
      <w:r w:rsidRPr="00D813C0">
        <w:t xml:space="preserve">MAS Litomyšlsko o.p.s. v současné době </w:t>
      </w:r>
      <w:r>
        <w:t>provádí monitoring realizovaných projektů spolufinancovaných z Programu Rozvoje Venkova osa IV</w:t>
      </w:r>
      <w:r w:rsidR="00E73915">
        <w:t>.</w:t>
      </w:r>
      <w:r>
        <w:t xml:space="preserve"> LE</w:t>
      </w:r>
      <w:r w:rsidR="00E73915">
        <w:t>AD</w:t>
      </w:r>
      <w:r>
        <w:t>ER a má tedy vypracovány postupy a principy monitoringu, a to včetně formalizace v podobě interních směrnic.</w:t>
      </w:r>
    </w:p>
    <w:p w:rsidR="00D813C0" w:rsidRDefault="00D813C0" w:rsidP="00D813C0">
      <w:r>
        <w:t>Monitoring projektů se skládá ze tří fází:</w:t>
      </w:r>
    </w:p>
    <w:p w:rsidR="00D813C0" w:rsidRDefault="00D813C0" w:rsidP="00A60AC9">
      <w:pPr>
        <w:pStyle w:val="Odstavecseseznamem"/>
        <w:numPr>
          <w:ilvl w:val="0"/>
          <w:numId w:val="21"/>
        </w:numPr>
      </w:pPr>
      <w:r>
        <w:t>monitoring realizace projektů;</w:t>
      </w:r>
    </w:p>
    <w:p w:rsidR="00D813C0" w:rsidRDefault="00D813C0" w:rsidP="00A60AC9">
      <w:pPr>
        <w:pStyle w:val="Odstavecseseznamem"/>
        <w:numPr>
          <w:ilvl w:val="0"/>
          <w:numId w:val="21"/>
        </w:numPr>
      </w:pPr>
      <w:r>
        <w:lastRenderedPageBreak/>
        <w:t>monitoring v době udržitelnosti projektů;</w:t>
      </w:r>
    </w:p>
    <w:p w:rsidR="00D813C0" w:rsidRDefault="00D813C0" w:rsidP="00A60AC9">
      <w:pPr>
        <w:pStyle w:val="Odstavecseseznamem"/>
        <w:numPr>
          <w:ilvl w:val="0"/>
          <w:numId w:val="21"/>
        </w:numPr>
      </w:pPr>
      <w:r>
        <w:t>souhrnný monitoring realizace projektů (evaluace realizace strategie).</w:t>
      </w:r>
    </w:p>
    <w:p w:rsidR="003A31AA" w:rsidRDefault="003A31AA" w:rsidP="003A31AA">
      <w:r>
        <w:t>Vytvořené postupy jsou vytvořeny dle dosavadních podmínek Programu Rozvoje Venkova osy IV LE</w:t>
      </w:r>
      <w:r w:rsidR="00E73915">
        <w:t>AD</w:t>
      </w:r>
      <w:r>
        <w:t>ER. V případě potřeby je ale MAS Litomyšlsko o.p.s. připravena své postupy přepracovat nebo diferencovat v závislosti na podmínkách jednotlivých zdrojů financování.</w:t>
      </w:r>
    </w:p>
    <w:p w:rsidR="00D813C0" w:rsidRDefault="00D813C0" w:rsidP="00D813C0">
      <w:pPr>
        <w:pStyle w:val="Nadpis3"/>
      </w:pPr>
      <w:bookmarkStart w:id="17" w:name="_Toc430006491"/>
      <w:r>
        <w:t>Monitoring realizace projektů</w:t>
      </w:r>
      <w:bookmarkEnd w:id="17"/>
    </w:p>
    <w:p w:rsidR="00D813C0" w:rsidRDefault="00D813C0" w:rsidP="00D813C0">
      <w:r>
        <w:t>Každý projekt jednotlivě je v souladu s interními směrnicemi monitorován minimálně třikrát:</w:t>
      </w:r>
    </w:p>
    <w:p w:rsidR="00D813C0" w:rsidRDefault="003A31AA" w:rsidP="00A60AC9">
      <w:pPr>
        <w:pStyle w:val="Odstavecseseznamem"/>
        <w:numPr>
          <w:ilvl w:val="0"/>
          <w:numId w:val="22"/>
        </w:numPr>
      </w:pPr>
      <w:r>
        <w:t>p</w:t>
      </w:r>
      <w:r w:rsidR="00D813C0">
        <w:t>řed realizací (výchozí stav)</w:t>
      </w:r>
      <w:r>
        <w:t>;</w:t>
      </w:r>
    </w:p>
    <w:p w:rsidR="003A31AA" w:rsidRDefault="003A31AA" w:rsidP="00A60AC9">
      <w:pPr>
        <w:pStyle w:val="Odstavecseseznamem"/>
        <w:numPr>
          <w:ilvl w:val="0"/>
          <w:numId w:val="22"/>
        </w:numPr>
      </w:pPr>
      <w:r>
        <w:t>během realizace – průběh realizace (jako prevence vzniku chyb v realizaci nebo financování projektu);</w:t>
      </w:r>
    </w:p>
    <w:p w:rsidR="003A31AA" w:rsidRDefault="003A31AA" w:rsidP="00A60AC9">
      <w:pPr>
        <w:pStyle w:val="Odstavecseseznamem"/>
        <w:numPr>
          <w:ilvl w:val="0"/>
          <w:numId w:val="22"/>
        </w:numPr>
      </w:pPr>
      <w:r>
        <w:t>po realizaci projektu (konečný stav a jeho soulad s podmínkami dotace a povinnými indikátory).</w:t>
      </w:r>
    </w:p>
    <w:p w:rsidR="008F797D" w:rsidRPr="00D813C0" w:rsidRDefault="008F797D" w:rsidP="008F797D">
      <w:r>
        <w:t>Z každého monitoringu je pořizován písemný i vizuální záznam.</w:t>
      </w:r>
      <w:r w:rsidR="00831096">
        <w:t xml:space="preserve"> Vždy je kontrolován soulad skutečnosti se žádostí o dotaci podanou žadatelem.</w:t>
      </w:r>
      <w:r w:rsidR="004248C7">
        <w:t xml:space="preserve"> Tento monitoring provádí zaměstnanci kanceláře MAS Litomyšlsko o.p.s.</w:t>
      </w:r>
    </w:p>
    <w:p w:rsidR="00D813C0" w:rsidRDefault="00D813C0" w:rsidP="00D813C0">
      <w:pPr>
        <w:pStyle w:val="Nadpis3"/>
      </w:pPr>
      <w:bookmarkStart w:id="18" w:name="_Toc430006492"/>
      <w:r>
        <w:t>Monitoring v době udržitelnosti</w:t>
      </w:r>
      <w:bookmarkEnd w:id="18"/>
    </w:p>
    <w:p w:rsidR="003A31AA" w:rsidRDefault="003A31AA" w:rsidP="003A31AA">
      <w:r>
        <w:t>Každý projekt je dle dosavadních podmínek m</w:t>
      </w:r>
      <w:r w:rsidR="00D036AD">
        <w:t>o</w:t>
      </w:r>
      <w:r>
        <w:t>nitorován minimálně 1x ročně, a to za účelem zachování podmínek udržitelnosti (dodržení kritérií výběru i indikátorů projektu).</w:t>
      </w:r>
    </w:p>
    <w:p w:rsidR="003A31AA" w:rsidRDefault="003A31AA" w:rsidP="003A31AA">
      <w:r>
        <w:t>Každý příjemce podpory nebo subjekt, který výstupy projektu převzal je povinen minimálně 1x ročně předkládat MAS Litomyšlsko o.p.s. monitorovací zprávu na standardizovaném formuláři</w:t>
      </w:r>
      <w:r w:rsidR="0010751A">
        <w:t xml:space="preserve"> (obsahuje požadavky na písemné i fotografické materiály o projektu)</w:t>
      </w:r>
      <w:r w:rsidR="008F797D">
        <w:t>, a to v souladu</w:t>
      </w:r>
      <w:r w:rsidR="00D21EB3">
        <w:t xml:space="preserve"> s dosavadními podmínkami Programu Rozvoje Venkova osy IV LE</w:t>
      </w:r>
      <w:r w:rsidR="00E73915">
        <w:t>AD</w:t>
      </w:r>
      <w:r w:rsidR="00D21EB3">
        <w:t>ER.</w:t>
      </w:r>
      <w:r w:rsidR="008F797D">
        <w:t xml:space="preserve"> Tímto způsobem je zajištěna udržitelnost výstupů a účelu projektu, a to minimálně dle podmínek poskytovatele dotace.</w:t>
      </w:r>
    </w:p>
    <w:p w:rsidR="0010751A" w:rsidRPr="0010751A" w:rsidRDefault="0010751A" w:rsidP="0010751A">
      <w:pPr>
        <w:autoSpaceDE w:val="0"/>
        <w:rPr>
          <w:rFonts w:eastAsia="Arial" w:cs="Arial"/>
        </w:rPr>
      </w:pPr>
      <w:r w:rsidRPr="0010751A">
        <w:rPr>
          <w:rFonts w:eastAsia="Arial" w:cs="Arial"/>
          <w:color w:val="000000"/>
        </w:rPr>
        <w:t xml:space="preserve">Případné dotazy či problémy s vypracováním monitorovací zprávy </w:t>
      </w:r>
      <w:r>
        <w:rPr>
          <w:rFonts w:eastAsia="Arial" w:cs="Arial"/>
          <w:color w:val="000000"/>
        </w:rPr>
        <w:t xml:space="preserve">je možné konzultovat se </w:t>
      </w:r>
      <w:r w:rsidRPr="002A77C9">
        <w:rPr>
          <w:rFonts w:eastAsia="Arial" w:cs="Arial"/>
          <w:color w:val="000000"/>
        </w:rPr>
        <w:t>sekretariátem MAS</w:t>
      </w:r>
      <w:r w:rsidR="002A77C9">
        <w:rPr>
          <w:rFonts w:eastAsia="Arial" w:cs="Arial"/>
          <w:color w:val="000000"/>
        </w:rPr>
        <w:t xml:space="preserve"> Litomyšlsko o.p.s.</w:t>
      </w:r>
      <w:r w:rsidRPr="002A77C9">
        <w:rPr>
          <w:rFonts w:eastAsia="Arial" w:cs="Arial"/>
          <w:color w:val="000000"/>
        </w:rPr>
        <w:t>,</w:t>
      </w:r>
      <w:r w:rsidRPr="0010751A">
        <w:rPr>
          <w:rFonts w:eastAsia="Arial" w:cs="Arial"/>
          <w:color w:val="000000"/>
        </w:rPr>
        <w:t xml:space="preserve"> který poskytne informace ke správnému vyplnění.</w:t>
      </w:r>
    </w:p>
    <w:p w:rsidR="00D813C0" w:rsidRPr="00D813C0" w:rsidRDefault="00D813C0" w:rsidP="00D813C0">
      <w:pPr>
        <w:pStyle w:val="Nadpis3"/>
      </w:pPr>
      <w:bookmarkStart w:id="19" w:name="_Toc430006493"/>
      <w:r>
        <w:lastRenderedPageBreak/>
        <w:t>Souhrnný monitoring projektů (evaluace)</w:t>
      </w:r>
      <w:bookmarkEnd w:id="19"/>
    </w:p>
    <w:p w:rsidR="00A2607C" w:rsidRPr="00421083" w:rsidRDefault="00A2607C" w:rsidP="00A2607C">
      <w:pPr>
        <w:autoSpaceDE w:val="0"/>
        <w:rPr>
          <w:rFonts w:eastAsia="Arial" w:cs="Arial"/>
          <w:color w:val="000000"/>
        </w:rPr>
      </w:pPr>
      <w:r w:rsidRPr="00421083">
        <w:rPr>
          <w:rFonts w:eastAsia="Arial" w:cs="Arial"/>
          <w:color w:val="000000"/>
        </w:rPr>
        <w:t>Monitorování zabezpečuje dohled nad tím, aby finanční prostředky byly využity maximálně efektivně k naplnění cílů, které byly stanoveny</w:t>
      </w:r>
      <w:r w:rsidR="00421083" w:rsidRPr="00421083">
        <w:rPr>
          <w:rFonts w:eastAsia="Arial" w:cs="Arial"/>
          <w:color w:val="000000"/>
        </w:rPr>
        <w:t xml:space="preserve"> strategií rozvoje území.</w:t>
      </w:r>
      <w:r w:rsidR="00421083">
        <w:rPr>
          <w:rFonts w:eastAsia="Arial" w:cs="Arial"/>
          <w:color w:val="000000"/>
        </w:rPr>
        <w:t xml:space="preserve"> Tento proces je také </w:t>
      </w:r>
      <w:r w:rsidR="0085523F">
        <w:rPr>
          <w:rFonts w:eastAsia="Arial" w:cs="Arial"/>
          <w:color w:val="000000"/>
        </w:rPr>
        <w:t>formalizován i</w:t>
      </w:r>
      <w:r w:rsidR="00421083">
        <w:rPr>
          <w:rFonts w:eastAsia="Arial" w:cs="Arial"/>
          <w:color w:val="000000"/>
        </w:rPr>
        <w:t>nterní metodikou.</w:t>
      </w:r>
    </w:p>
    <w:p w:rsidR="0085523F" w:rsidRPr="00421083" w:rsidRDefault="00A2607C" w:rsidP="00A2607C">
      <w:pPr>
        <w:autoSpaceDE w:val="0"/>
        <w:rPr>
          <w:rFonts w:eastAsia="TimesNewRomanPSMT" w:cs="TimesNewRomanPSMT"/>
        </w:rPr>
      </w:pPr>
      <w:r w:rsidRPr="00421083">
        <w:rPr>
          <w:rFonts w:eastAsia="TimesNewRomanPSMT" w:cs="TimesNewRomanPSMT"/>
        </w:rPr>
        <w:t>Vy</w:t>
      </w:r>
      <w:r w:rsidR="00421083" w:rsidRPr="00421083">
        <w:rPr>
          <w:rFonts w:eastAsia="TimesNewRomanPSMT" w:cs="TimesNewRomanPSMT"/>
        </w:rPr>
        <w:t>hodnocování strategického dokumentu MAS Litomyšlsko o.p.s. doposud probíhá</w:t>
      </w:r>
      <w:r w:rsidRPr="00421083">
        <w:rPr>
          <w:rFonts w:eastAsia="TimesNewRomanPSMT" w:cs="TimesNewRomanPSMT"/>
        </w:rPr>
        <w:t xml:space="preserve"> ročním monitorováním dosahování monitorovacích ukazatelů.</w:t>
      </w:r>
    </w:p>
    <w:p w:rsidR="00A2607C" w:rsidRDefault="00A2607C" w:rsidP="00A2607C">
      <w:pPr>
        <w:autoSpaceDE w:val="0"/>
        <w:rPr>
          <w:rFonts w:eastAsia="TimesNewRomanPSMT" w:cs="TimesNewRomanPSMT"/>
          <w:highlight w:val="yellow"/>
        </w:rPr>
      </w:pPr>
      <w:r w:rsidRPr="00421083">
        <w:rPr>
          <w:rFonts w:eastAsia="TimesNewRomanPSMT" w:cs="TimesNewRomanPSMT"/>
        </w:rPr>
        <w:t xml:space="preserve">Evaluace </w:t>
      </w:r>
      <w:r w:rsidR="00421083" w:rsidRPr="00421083">
        <w:rPr>
          <w:rFonts w:eastAsia="TimesNewRomanPSMT" w:cs="TimesNewRomanPSMT"/>
        </w:rPr>
        <w:t xml:space="preserve">vychází ze souhrnných dat o realizovaných projektech, které má MAS Litomyšlsko o.p.s. k dispozici a z dat a informací získaných z monitorovacích </w:t>
      </w:r>
      <w:r w:rsidR="00421083" w:rsidRPr="00593189">
        <w:rPr>
          <w:rFonts w:eastAsia="TimesNewRomanPSMT" w:cs="TimesNewRomanPSMT"/>
        </w:rPr>
        <w:t>zpráv (viz</w:t>
      </w:r>
      <w:r w:rsidR="0085523F" w:rsidRPr="00593189">
        <w:rPr>
          <w:rFonts w:eastAsia="TimesNewRomanPSMT" w:cs="TimesNewRomanPSMT"/>
        </w:rPr>
        <w:t xml:space="preserve"> 1.6.1 Monitoring realizace projektů a</w:t>
      </w:r>
      <w:r w:rsidR="00421083" w:rsidRPr="00593189">
        <w:rPr>
          <w:rFonts w:eastAsia="TimesNewRomanPSMT" w:cs="TimesNewRomanPSMT"/>
        </w:rPr>
        <w:t xml:space="preserve"> 1.6.2 Monitoring v době udržitelnosti).</w:t>
      </w:r>
      <w:r w:rsidR="0085523F" w:rsidRPr="00593189">
        <w:rPr>
          <w:rFonts w:eastAsia="TimesNewRomanPSMT" w:cs="TimesNewRomanPSMT"/>
        </w:rPr>
        <w:t xml:space="preserve"> Každý z</w:t>
      </w:r>
      <w:r w:rsidR="0085523F" w:rsidRPr="0085523F">
        <w:rPr>
          <w:rFonts w:eastAsia="TimesNewRomanPSMT" w:cs="TimesNewRomanPSMT"/>
        </w:rPr>
        <w:t xml:space="preserve"> těchto projektů totiž představuje dílčí aktivitu a prvek směřující k naplnění cílů a indikátorů strategie celého regionu.</w:t>
      </w:r>
    </w:p>
    <w:p w:rsidR="00421083" w:rsidRPr="00421083" w:rsidRDefault="00421083" w:rsidP="00A2607C">
      <w:pPr>
        <w:autoSpaceDE w:val="0"/>
        <w:rPr>
          <w:rFonts w:eastAsia="TimesNewRomanPSMT" w:cs="TimesNewRomanPSMT"/>
        </w:rPr>
      </w:pPr>
      <w:r w:rsidRPr="00421083">
        <w:rPr>
          <w:rFonts w:eastAsia="TimesNewRomanPSMT" w:cs="TimesNewRomanPSMT"/>
        </w:rPr>
        <w:t>Takto získaná data jsou souhrnně zpracována a konfrontována s cíli a indikátory stanovenými strategickým dokumentem.</w:t>
      </w:r>
    </w:p>
    <w:p w:rsidR="00A2607C" w:rsidRDefault="00A2607C" w:rsidP="00A2607C">
      <w:pPr>
        <w:autoSpaceDE w:val="0"/>
        <w:rPr>
          <w:rFonts w:eastAsia="TimesNewRomanPSMT" w:cs="TimesNewRomanPSMT"/>
        </w:rPr>
      </w:pPr>
      <w:r w:rsidRPr="00421083">
        <w:rPr>
          <w:rFonts w:eastAsia="TimesNewRomanPSMT" w:cs="TimesNewRomanPSMT"/>
        </w:rPr>
        <w:t xml:space="preserve">Výsledky </w:t>
      </w:r>
      <w:r w:rsidR="00421083" w:rsidRPr="00421083">
        <w:rPr>
          <w:rFonts w:eastAsia="TimesNewRomanPSMT" w:cs="TimesNewRomanPSMT"/>
        </w:rPr>
        <w:t>evaluace</w:t>
      </w:r>
      <w:r w:rsidRPr="00421083">
        <w:rPr>
          <w:rFonts w:eastAsia="TimesNewRomanPSMT" w:cs="TimesNewRomanPSMT"/>
        </w:rPr>
        <w:t xml:space="preserve"> a vyhodnocování </w:t>
      </w:r>
      <w:r w:rsidR="00421083" w:rsidRPr="00421083">
        <w:rPr>
          <w:rFonts w:eastAsia="TimesNewRomanPSMT" w:cs="TimesNewRomanPSMT"/>
        </w:rPr>
        <w:t>jsou zveřejňovány</w:t>
      </w:r>
      <w:r w:rsidRPr="00421083">
        <w:rPr>
          <w:rFonts w:eastAsia="TimesNewRomanPSMT" w:cs="TimesNewRomanPSMT"/>
        </w:rPr>
        <w:t xml:space="preserve"> na internetových stránkách MAS Litomyšlsko</w:t>
      </w:r>
      <w:r w:rsidR="00421083" w:rsidRPr="00421083">
        <w:rPr>
          <w:rFonts w:eastAsia="TimesNewRomanPSMT" w:cs="TimesNewRomanPSMT"/>
        </w:rPr>
        <w:t xml:space="preserve"> o.p.s.</w:t>
      </w:r>
    </w:p>
    <w:p w:rsidR="00B50E8D" w:rsidRDefault="00B50E8D" w:rsidP="009F4D7F">
      <w:pPr>
        <w:pStyle w:val="Nadpis1"/>
      </w:pPr>
      <w:bookmarkStart w:id="20" w:name="_Toc430006494"/>
      <w:r>
        <w:lastRenderedPageBreak/>
        <w:t>Analytická část</w:t>
      </w:r>
      <w:bookmarkEnd w:id="20"/>
    </w:p>
    <w:p w:rsidR="001E3BFD" w:rsidRPr="001E3BFD" w:rsidRDefault="001E3BFD" w:rsidP="001E3BFD">
      <w:pPr>
        <w:pStyle w:val="Nadpis2"/>
      </w:pPr>
      <w:bookmarkStart w:id="21" w:name="_Toc430006495"/>
      <w:r w:rsidRPr="001E3BFD">
        <w:t>Vyhodnocení území</w:t>
      </w:r>
      <w:bookmarkEnd w:id="21"/>
    </w:p>
    <w:p w:rsidR="000F7E1C" w:rsidRDefault="000F7E1C" w:rsidP="009F4D7F">
      <w:pPr>
        <w:pStyle w:val="Nadpis3"/>
      </w:pPr>
      <w:bookmarkStart w:id="22" w:name="_Toc430006496"/>
      <w:r>
        <w:t>Obyvatelstvo</w:t>
      </w:r>
      <w:bookmarkEnd w:id="22"/>
    </w:p>
    <w:p w:rsidR="002D3866" w:rsidRPr="009A6A41" w:rsidRDefault="009A6A41" w:rsidP="002D3866">
      <w:pPr>
        <w:rPr>
          <w:rFonts w:eastAsia="Arial Unicode MS" w:cs="Arial Unicode MS"/>
        </w:rPr>
      </w:pPr>
      <w:r w:rsidRPr="009A6A41">
        <w:rPr>
          <w:rFonts w:eastAsia="Arial Unicode MS" w:cs="Arial Unicode MS"/>
        </w:rPr>
        <w:t>Evropská p</w:t>
      </w:r>
      <w:r w:rsidR="002D3866" w:rsidRPr="009A6A41">
        <w:rPr>
          <w:rFonts w:eastAsia="Arial Unicode MS" w:cs="Arial Unicode MS"/>
        </w:rPr>
        <w:t>op</w:t>
      </w:r>
      <w:r w:rsidRPr="009A6A41">
        <w:rPr>
          <w:rFonts w:eastAsia="Arial Unicode MS" w:cs="Arial Unicode MS"/>
        </w:rPr>
        <w:t>ulace v</w:t>
      </w:r>
      <w:r w:rsidR="002D3866" w:rsidRPr="009A6A41">
        <w:rPr>
          <w:rFonts w:eastAsia="Arial Unicode MS" w:cs="Arial Unicode MS"/>
        </w:rPr>
        <w:t> posledních letech prodě</w:t>
      </w:r>
      <w:r w:rsidRPr="009A6A41">
        <w:rPr>
          <w:rFonts w:eastAsia="Arial Unicode MS" w:cs="Arial Unicode MS"/>
        </w:rPr>
        <w:t>lává výrazné změny ve struktuře, což se týká i ČR. Ani</w:t>
      </w:r>
      <w:r w:rsidR="005216C7" w:rsidRPr="009A6A41">
        <w:rPr>
          <w:rFonts w:eastAsia="Arial Unicode MS" w:cs="Arial Unicode MS"/>
        </w:rPr>
        <w:t xml:space="preserve"> region MAS</w:t>
      </w:r>
      <w:r w:rsidRPr="009A6A41">
        <w:rPr>
          <w:rFonts w:eastAsia="Arial Unicode MS" w:cs="Arial Unicode MS"/>
        </w:rPr>
        <w:t xml:space="preserve"> v tomto směru není výjimkou, byť v malém měřítku.</w:t>
      </w:r>
    </w:p>
    <w:tbl>
      <w:tblPr>
        <w:tblW w:w="0" w:type="auto"/>
        <w:tblInd w:w="60" w:type="dxa"/>
        <w:tblCellMar>
          <w:left w:w="10" w:type="dxa"/>
          <w:right w:w="10" w:type="dxa"/>
        </w:tblCellMar>
        <w:tblLook w:val="04A0"/>
      </w:tblPr>
      <w:tblGrid>
        <w:gridCol w:w="2742"/>
        <w:gridCol w:w="641"/>
        <w:gridCol w:w="641"/>
        <w:gridCol w:w="641"/>
        <w:gridCol w:w="641"/>
        <w:gridCol w:w="641"/>
        <w:gridCol w:w="641"/>
      </w:tblGrid>
      <w:tr w:rsidR="00745220" w:rsidTr="001C5907">
        <w:trPr>
          <w:trHeight w:val="300"/>
        </w:trPr>
        <w:tc>
          <w:tcPr>
            <w:tcW w:w="6588" w:type="dxa"/>
            <w:gridSpan w:val="7"/>
            <w:shd w:val="clear" w:color="000000" w:fill="17375D"/>
            <w:tcMar>
              <w:left w:w="70" w:type="dxa"/>
              <w:right w:w="70" w:type="dxa"/>
            </w:tcMar>
            <w:vAlign w:val="center"/>
          </w:tcPr>
          <w:p w:rsidR="002D3866" w:rsidRDefault="002D3866" w:rsidP="001C5907">
            <w:pPr>
              <w:spacing w:after="0"/>
              <w:jc w:val="center"/>
            </w:pPr>
            <w:r>
              <w:rPr>
                <w:rFonts w:ascii="Arial" w:eastAsia="Arial" w:hAnsi="Arial" w:cs="Arial"/>
                <w:color w:val="FFFFFF"/>
                <w:sz w:val="18"/>
              </w:rPr>
              <w:t>Počet obyvatel v MAS Litomyš</w:t>
            </w:r>
            <w:r w:rsidR="00EA5F74">
              <w:rPr>
                <w:rFonts w:ascii="Arial" w:eastAsia="Arial" w:hAnsi="Arial" w:cs="Arial"/>
                <w:color w:val="FFFFFF"/>
                <w:sz w:val="18"/>
              </w:rPr>
              <w:t>l</w:t>
            </w:r>
            <w:r>
              <w:rPr>
                <w:rFonts w:ascii="Arial" w:eastAsia="Arial" w:hAnsi="Arial" w:cs="Arial"/>
                <w:color w:val="FFFFFF"/>
                <w:sz w:val="18"/>
              </w:rPr>
              <w:t>sko</w:t>
            </w:r>
          </w:p>
        </w:tc>
      </w:tr>
      <w:tr w:rsidR="00745220" w:rsidTr="00593189">
        <w:trPr>
          <w:trHeight w:val="300"/>
        </w:trPr>
        <w:tc>
          <w:tcPr>
            <w:tcW w:w="2742"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 </w:t>
            </w:r>
          </w:p>
        </w:tc>
        <w:tc>
          <w:tcPr>
            <w:tcW w:w="641" w:type="dxa"/>
            <w:tcBorders>
              <w:left w:val="nil"/>
            </w:tcBorders>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2008</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2009</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2010</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2011</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2012</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2013</w:t>
            </w:r>
          </w:p>
        </w:tc>
      </w:tr>
      <w:tr w:rsidR="00745220" w:rsidTr="00593189">
        <w:trPr>
          <w:trHeight w:val="735"/>
        </w:trPr>
        <w:tc>
          <w:tcPr>
            <w:tcW w:w="2742" w:type="dxa"/>
            <w:shd w:val="clear" w:color="FFCC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Počet obyvatel k 31.12. - celkem</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45683</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45924</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45884</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45832</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45854</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45748</w:t>
            </w:r>
          </w:p>
        </w:tc>
      </w:tr>
      <w:tr w:rsidR="00745220" w:rsidTr="001C5907">
        <w:trPr>
          <w:trHeight w:val="495"/>
        </w:trPr>
        <w:tc>
          <w:tcPr>
            <w:tcW w:w="2742" w:type="dxa"/>
            <w:shd w:val="clear" w:color="FFCC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Počet obyvatel k 31.12. - ženy</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23210</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23292</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23257</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23246</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23223</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23164</w:t>
            </w:r>
          </w:p>
        </w:tc>
      </w:tr>
      <w:tr w:rsidR="00745220" w:rsidTr="001C5907">
        <w:trPr>
          <w:trHeight w:val="735"/>
        </w:trPr>
        <w:tc>
          <w:tcPr>
            <w:tcW w:w="2742" w:type="dxa"/>
            <w:shd w:val="clear" w:color="FFCC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Počet obyvatel k 31.12. - muži</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22473</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22632</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22627</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22586</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22631</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22584</w:t>
            </w:r>
          </w:p>
        </w:tc>
      </w:tr>
      <w:tr w:rsidR="00745220" w:rsidTr="001C5907">
        <w:trPr>
          <w:trHeight w:val="300"/>
        </w:trPr>
        <w:tc>
          <w:tcPr>
            <w:tcW w:w="6588" w:type="dxa"/>
            <w:gridSpan w:val="7"/>
            <w:shd w:val="clear" w:color="FFCC00" w:fill="17375D"/>
            <w:tcMar>
              <w:left w:w="70" w:type="dxa"/>
              <w:right w:w="70" w:type="dxa"/>
            </w:tcMar>
            <w:vAlign w:val="center"/>
          </w:tcPr>
          <w:p w:rsidR="002D3866" w:rsidRDefault="002D3866" w:rsidP="001C5907">
            <w:pPr>
              <w:spacing w:after="0"/>
              <w:jc w:val="center"/>
            </w:pPr>
            <w:r>
              <w:rPr>
                <w:rFonts w:ascii="Arial" w:eastAsia="Arial" w:hAnsi="Arial" w:cs="Arial"/>
                <w:color w:val="FFFFFF"/>
                <w:sz w:val="18"/>
              </w:rPr>
              <w:t>Pohyb obyvatel v MAS Litomyšlsko</w:t>
            </w:r>
          </w:p>
        </w:tc>
      </w:tr>
      <w:tr w:rsidR="00745220" w:rsidTr="00593189">
        <w:trPr>
          <w:trHeight w:val="300"/>
        </w:trPr>
        <w:tc>
          <w:tcPr>
            <w:tcW w:w="2742"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 </w:t>
            </w:r>
          </w:p>
        </w:tc>
        <w:tc>
          <w:tcPr>
            <w:tcW w:w="641" w:type="dxa"/>
            <w:tcBorders>
              <w:left w:val="nil"/>
            </w:tcBorders>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2008</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2009</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2010</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2011</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2012</w:t>
            </w:r>
          </w:p>
        </w:tc>
        <w:tc>
          <w:tcPr>
            <w:tcW w:w="641" w:type="dxa"/>
            <w:shd w:val="clear" w:color="FFCC00" w:fill="538ED5"/>
            <w:tcMar>
              <w:left w:w="70" w:type="dxa"/>
              <w:right w:w="70" w:type="dxa"/>
            </w:tcMar>
            <w:vAlign w:val="center"/>
          </w:tcPr>
          <w:p w:rsidR="002D3866" w:rsidRDefault="002D3866" w:rsidP="001C5907">
            <w:pPr>
              <w:spacing w:after="0"/>
              <w:jc w:val="center"/>
            </w:pPr>
            <w:r>
              <w:rPr>
                <w:rFonts w:ascii="Arial" w:eastAsia="Arial" w:hAnsi="Arial" w:cs="Arial"/>
                <w:color w:val="000000"/>
                <w:sz w:val="18"/>
              </w:rPr>
              <w:t>2013</w:t>
            </w:r>
          </w:p>
        </w:tc>
      </w:tr>
      <w:tr w:rsidR="00745220" w:rsidTr="00593189">
        <w:trPr>
          <w:trHeight w:val="495"/>
        </w:trPr>
        <w:tc>
          <w:tcPr>
            <w:tcW w:w="2742" w:type="dxa"/>
            <w:shd w:val="clear" w:color="FFCC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Živě narození celkem</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534</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503</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492</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471</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497</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480</w:t>
            </w:r>
          </w:p>
        </w:tc>
      </w:tr>
      <w:tr w:rsidR="00745220" w:rsidTr="001C5907">
        <w:trPr>
          <w:trHeight w:val="495"/>
        </w:trPr>
        <w:tc>
          <w:tcPr>
            <w:tcW w:w="2742" w:type="dxa"/>
            <w:shd w:val="clear" w:color="FFCC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Zemřelí celkem</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417</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419</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471</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460</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422</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454</w:t>
            </w:r>
          </w:p>
        </w:tc>
      </w:tr>
      <w:tr w:rsidR="00745220" w:rsidTr="001C5907">
        <w:trPr>
          <w:trHeight w:val="495"/>
        </w:trPr>
        <w:tc>
          <w:tcPr>
            <w:tcW w:w="2742" w:type="dxa"/>
            <w:shd w:val="clear" w:color="FFCC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Přistěhovalí celkem</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1180</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1092</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875</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981</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904</w:t>
            </w:r>
          </w:p>
        </w:tc>
        <w:tc>
          <w:tcPr>
            <w:tcW w:w="641" w:type="dxa"/>
            <w:shd w:val="clear" w:color="000000" w:fill="B8CCE4"/>
            <w:tcMar>
              <w:left w:w="70" w:type="dxa"/>
              <w:right w:w="70" w:type="dxa"/>
            </w:tcMar>
            <w:vAlign w:val="center"/>
          </w:tcPr>
          <w:p w:rsidR="002D3866" w:rsidRDefault="002D3866" w:rsidP="001C5907">
            <w:pPr>
              <w:spacing w:after="0"/>
              <w:jc w:val="center"/>
            </w:pPr>
            <w:r>
              <w:rPr>
                <w:rFonts w:ascii="Arial" w:eastAsia="Arial" w:hAnsi="Arial" w:cs="Arial"/>
                <w:color w:val="000000"/>
                <w:sz w:val="18"/>
              </w:rPr>
              <w:t>938</w:t>
            </w:r>
          </w:p>
        </w:tc>
      </w:tr>
      <w:tr w:rsidR="00745220" w:rsidTr="001C5907">
        <w:trPr>
          <w:trHeight w:val="495"/>
        </w:trPr>
        <w:tc>
          <w:tcPr>
            <w:tcW w:w="2742" w:type="dxa"/>
            <w:shd w:val="clear" w:color="FFCC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Vystěhovalí celkem</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964</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935</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936</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963</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957</w:t>
            </w:r>
          </w:p>
        </w:tc>
        <w:tc>
          <w:tcPr>
            <w:tcW w:w="641" w:type="dxa"/>
            <w:shd w:val="clear" w:color="000000" w:fill="DBE5F1"/>
            <w:tcMar>
              <w:left w:w="70" w:type="dxa"/>
              <w:right w:w="70" w:type="dxa"/>
            </w:tcMar>
            <w:vAlign w:val="center"/>
          </w:tcPr>
          <w:p w:rsidR="002D3866" w:rsidRDefault="002D3866" w:rsidP="001C5907">
            <w:pPr>
              <w:spacing w:after="0"/>
              <w:jc w:val="center"/>
            </w:pPr>
            <w:r>
              <w:rPr>
                <w:rFonts w:ascii="Arial" w:eastAsia="Arial" w:hAnsi="Arial" w:cs="Arial"/>
                <w:color w:val="000000"/>
                <w:sz w:val="18"/>
              </w:rPr>
              <w:t>1070</w:t>
            </w:r>
          </w:p>
        </w:tc>
      </w:tr>
    </w:tbl>
    <w:p w:rsidR="002D3866" w:rsidRPr="009A6A41" w:rsidRDefault="002D3866" w:rsidP="002D3866">
      <w:pPr>
        <w:rPr>
          <w:rFonts w:eastAsia="Arial Unicode MS" w:cs="Arial Unicode MS"/>
        </w:rPr>
      </w:pPr>
      <w:r w:rsidRPr="009A6A41">
        <w:rPr>
          <w:rFonts w:eastAsia="Arial Unicode MS" w:cs="Arial Unicode MS"/>
        </w:rPr>
        <w:t>Tab.:  Celková struktura a pohyb obyvatel v oblasti</w:t>
      </w:r>
    </w:p>
    <w:p w:rsidR="002D3866" w:rsidRPr="00AB3D57" w:rsidRDefault="002D3866" w:rsidP="002D3866">
      <w:pPr>
        <w:rPr>
          <w:rFonts w:eastAsia="Arial Unicode MS" w:cs="Arial Unicode MS"/>
        </w:rPr>
      </w:pPr>
      <w:r w:rsidRPr="00AB3D57">
        <w:rPr>
          <w:rFonts w:eastAsia="Arial Unicode MS" w:cs="Arial Unicode MS"/>
        </w:rPr>
        <w:t>V současné době žije v oblasti působení organizace MAS Litomyšlsko přes 45 a půl tisíce obyvatel. Vývoj od</w:t>
      </w:r>
      <w:r w:rsidR="00AB3D57" w:rsidRPr="00AB3D57">
        <w:rPr>
          <w:rFonts w:eastAsia="Arial Unicode MS" w:cs="Arial Unicode MS"/>
        </w:rPr>
        <w:t xml:space="preserve"> roku 2008 ukazuje na střídání</w:t>
      </w:r>
      <w:r w:rsidRPr="00AB3D57">
        <w:rPr>
          <w:rFonts w:eastAsia="Arial Unicode MS" w:cs="Arial Unicode MS"/>
        </w:rPr>
        <w:t xml:space="preserve"> se růst</w:t>
      </w:r>
      <w:r w:rsidR="00AB3D57" w:rsidRPr="00AB3D57">
        <w:rPr>
          <w:rFonts w:eastAsia="Arial Unicode MS" w:cs="Arial Unicode MS"/>
        </w:rPr>
        <w:t>u</w:t>
      </w:r>
      <w:r w:rsidRPr="00AB3D57">
        <w:rPr>
          <w:rFonts w:eastAsia="Arial Unicode MS" w:cs="Arial Unicode MS"/>
        </w:rPr>
        <w:t xml:space="preserve"> i pokles</w:t>
      </w:r>
      <w:r w:rsidR="00AB3D57" w:rsidRPr="00AB3D57">
        <w:rPr>
          <w:rFonts w:eastAsia="Arial Unicode MS" w:cs="Arial Unicode MS"/>
        </w:rPr>
        <w:t>u</w:t>
      </w:r>
      <w:r w:rsidRPr="00AB3D57">
        <w:rPr>
          <w:rFonts w:eastAsia="Arial Unicode MS" w:cs="Arial Unicode MS"/>
        </w:rPr>
        <w:t xml:space="preserve"> počtu obyvatel v jednotlivých letech</w:t>
      </w:r>
      <w:r w:rsidR="00EA5F74">
        <w:rPr>
          <w:rFonts w:eastAsia="Arial Unicode MS" w:cs="Arial Unicode MS"/>
        </w:rPr>
        <w:t xml:space="preserve"> </w:t>
      </w:r>
      <w:r w:rsidR="00AB3D57" w:rsidRPr="00AB3D57">
        <w:rPr>
          <w:rFonts w:eastAsia="Arial Unicode MS" w:cs="Arial Unicode MS"/>
        </w:rPr>
        <w:t>přičemž c</w:t>
      </w:r>
      <w:r w:rsidRPr="00AB3D57">
        <w:rPr>
          <w:rFonts w:eastAsia="Arial Unicode MS" w:cs="Arial Unicode MS"/>
        </w:rPr>
        <w:t>elkově má křivka od roku 2009 klesající tendenci</w:t>
      </w:r>
      <w:r w:rsidR="00AB3D57" w:rsidRPr="00AB3D57">
        <w:rPr>
          <w:rFonts w:eastAsia="Arial Unicode MS" w:cs="Arial Unicode MS"/>
        </w:rPr>
        <w:t>.</w:t>
      </w:r>
      <w:r w:rsidRPr="00AB3D57">
        <w:rPr>
          <w:rFonts w:eastAsia="Arial Unicode MS" w:cs="Arial Unicode MS"/>
        </w:rPr>
        <w:t xml:space="preserve"> Nicméně úbytek obyvatel není extrémně výrazný a pohybuje se </w:t>
      </w:r>
      <w:r w:rsidR="00AB3D57" w:rsidRPr="00AB3D57">
        <w:rPr>
          <w:rFonts w:eastAsia="Arial Unicode MS" w:cs="Arial Unicode MS"/>
        </w:rPr>
        <w:t>do sta</w:t>
      </w:r>
      <w:r w:rsidRPr="00AB3D57">
        <w:rPr>
          <w:rFonts w:eastAsia="Arial Unicode MS" w:cs="Arial Unicode MS"/>
        </w:rPr>
        <w:t xml:space="preserve"> obyvatel za rok. </w:t>
      </w:r>
      <w:r w:rsidR="00AB3D57" w:rsidRPr="00AB3D57">
        <w:rPr>
          <w:rFonts w:eastAsia="Arial Unicode MS" w:cs="Arial Unicode MS"/>
        </w:rPr>
        <w:t>Nárůst</w:t>
      </w:r>
      <w:r w:rsidRPr="00AB3D57">
        <w:rPr>
          <w:rFonts w:eastAsia="Arial Unicode MS" w:cs="Arial Unicode MS"/>
        </w:rPr>
        <w:t> počtu obyvatel se objevuje především u obcí s 500 – 1000 obyvateli. Mezi obce s nejvyšším nárůstem obyvatel patří obec Janov, kde od roku 2008 přibylo celkem 73 obyvatel. Naopak pokles obyvatel se nejčastěji objevuje u obcí do 200 obyvatel a také u obcí s 200-500 obyvateli. Neustále klesající počet obyvatel má i město Vysoké Mýto.</w:t>
      </w:r>
    </w:p>
    <w:p w:rsidR="002D3866" w:rsidRDefault="002D3866" w:rsidP="002D3866">
      <w:pPr>
        <w:rPr>
          <w:rFonts w:ascii="Calibri" w:eastAsia="Calibri" w:hAnsi="Calibri" w:cs="Calibri"/>
        </w:rPr>
      </w:pPr>
      <w:r w:rsidRPr="00C51947">
        <w:rPr>
          <w:rFonts w:ascii="Calibri" w:eastAsia="Calibri" w:hAnsi="Calibri" w:cs="Calibri"/>
          <w:noProof/>
          <w:lang w:eastAsia="cs-CZ"/>
        </w:rPr>
        <w:lastRenderedPageBreak/>
        <w:drawing>
          <wp:inline distT="0" distB="0" distL="0" distR="0">
            <wp:extent cx="4305300" cy="2428875"/>
            <wp:effectExtent l="19050" t="0" r="19050" b="0"/>
            <wp:docPr id="2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3866" w:rsidRPr="00AB3D57" w:rsidRDefault="002D3866" w:rsidP="002D3866">
      <w:pPr>
        <w:rPr>
          <w:rFonts w:eastAsia="Arial Unicode MS" w:cs="Arial Unicode MS"/>
        </w:rPr>
      </w:pPr>
      <w:r w:rsidRPr="00AB3D57">
        <w:rPr>
          <w:rFonts w:eastAsia="Arial Unicode MS" w:cs="Arial Unicode MS"/>
        </w:rPr>
        <w:t>Graf: počet obyvatel v letech 2008-2013</w:t>
      </w:r>
    </w:p>
    <w:p w:rsidR="002D3866" w:rsidRPr="00AB3D57" w:rsidRDefault="002D3866" w:rsidP="002D3866">
      <w:pPr>
        <w:rPr>
          <w:rFonts w:eastAsia="Arial Unicode MS" w:cs="Arial Unicode MS"/>
        </w:rPr>
      </w:pPr>
      <w:r w:rsidRPr="00AB3D57">
        <w:rPr>
          <w:rFonts w:eastAsia="Arial Unicode MS" w:cs="Arial Unicode MS"/>
        </w:rPr>
        <w:t xml:space="preserve">Příznivě se jeví struktura obyvatel </w:t>
      </w:r>
      <w:r w:rsidR="005216C7" w:rsidRPr="00AB3D57">
        <w:rPr>
          <w:rFonts w:eastAsia="Arial Unicode MS" w:cs="Arial Unicode MS"/>
        </w:rPr>
        <w:t xml:space="preserve">při </w:t>
      </w:r>
      <w:r w:rsidRPr="00AB3D57">
        <w:rPr>
          <w:rFonts w:eastAsia="Arial Unicode MS" w:cs="Arial Unicode MS"/>
        </w:rPr>
        <w:t>rozdělení podle pohlaví. Zastoupení mužů a žen je téměř vyrovnané, přestože větší podíl připadá na ženy. Toto rozdělení zůstává v posledních 5 letech neměnné.</w:t>
      </w:r>
    </w:p>
    <w:p w:rsidR="002D3866" w:rsidRDefault="002D3866" w:rsidP="002D3866">
      <w:pPr>
        <w:rPr>
          <w:rFonts w:ascii="Calibri" w:eastAsia="Calibri" w:hAnsi="Calibri" w:cs="Calibri"/>
        </w:rPr>
      </w:pPr>
      <w:r w:rsidRPr="00C51947">
        <w:rPr>
          <w:rFonts w:ascii="Calibri" w:eastAsia="Calibri" w:hAnsi="Calibri" w:cs="Calibri"/>
          <w:noProof/>
          <w:lang w:eastAsia="cs-CZ"/>
        </w:rPr>
        <w:drawing>
          <wp:inline distT="0" distB="0" distL="0" distR="0">
            <wp:extent cx="4457700" cy="2543175"/>
            <wp:effectExtent l="19050" t="0" r="19050" b="0"/>
            <wp:docPr id="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3866" w:rsidRPr="00AB3D57" w:rsidRDefault="002D3866" w:rsidP="002D3866">
      <w:pPr>
        <w:rPr>
          <w:rFonts w:eastAsia="Arial Unicode MS" w:cs="Arial Unicode MS"/>
        </w:rPr>
      </w:pPr>
      <w:r w:rsidRPr="00AB3D57">
        <w:rPr>
          <w:rFonts w:eastAsia="Arial Unicode MS" w:cs="Arial Unicode MS"/>
        </w:rPr>
        <w:t>Graf: Struktura obyvatel dle pohlaví</w:t>
      </w:r>
    </w:p>
    <w:p w:rsidR="001D5CDF" w:rsidRDefault="00EA5D8B" w:rsidP="001D5CDF">
      <w:pPr>
        <w:pStyle w:val="Nadpis4"/>
      </w:pPr>
      <w:r>
        <w:t>V</w:t>
      </w:r>
      <w:r w:rsidR="000F7E1C" w:rsidRPr="000F7E1C">
        <w:t>ývoj osídlení</w:t>
      </w:r>
    </w:p>
    <w:p w:rsidR="002D3866" w:rsidRPr="007A388D" w:rsidRDefault="002D3866" w:rsidP="002D3866">
      <w:pPr>
        <w:rPr>
          <w:rFonts w:eastAsia="Arial Unicode MS" w:cs="Arial Unicode MS"/>
        </w:rPr>
      </w:pPr>
      <w:r w:rsidRPr="007A388D">
        <w:rPr>
          <w:rFonts w:eastAsia="Arial Unicode MS" w:cs="Arial Unicode MS"/>
        </w:rPr>
        <w:t>Vývoj osídlení v oblasti především závisí na ek</w:t>
      </w:r>
      <w:r w:rsidR="005216C7" w:rsidRPr="007A388D">
        <w:rPr>
          <w:rFonts w:eastAsia="Arial Unicode MS" w:cs="Arial Unicode MS"/>
        </w:rPr>
        <w:t xml:space="preserve">onomickém rozvoji regionu, </w:t>
      </w:r>
      <w:r w:rsidR="00AB3D57" w:rsidRPr="007A388D">
        <w:rPr>
          <w:rFonts w:eastAsia="Arial Unicode MS" w:cs="Arial Unicode MS"/>
        </w:rPr>
        <w:t>ze které plynou pracovní příležitosti a ekonomická úroveň obyvatelstva</w:t>
      </w:r>
      <w:r w:rsidRPr="007A388D">
        <w:rPr>
          <w:rFonts w:eastAsia="Arial Unicode MS" w:cs="Arial Unicode MS"/>
        </w:rPr>
        <w:t>. Právě pracovní příležitosti spolu s možností dostupného bydlení a dobrou dopravní obslužností patří k hlavním důvod</w:t>
      </w:r>
      <w:r w:rsidR="005216C7" w:rsidRPr="007A388D">
        <w:rPr>
          <w:rFonts w:eastAsia="Arial Unicode MS" w:cs="Arial Unicode MS"/>
        </w:rPr>
        <w:t xml:space="preserve">ům vnitrostátní migrace. </w:t>
      </w:r>
      <w:r w:rsidRPr="007A388D">
        <w:rPr>
          <w:rFonts w:eastAsia="Arial Unicode MS" w:cs="Arial Unicode MS"/>
        </w:rPr>
        <w:t>Vzhledem k </w:t>
      </w:r>
      <w:r w:rsidR="005216C7" w:rsidRPr="007A388D">
        <w:rPr>
          <w:rFonts w:eastAsia="Arial Unicode MS" w:cs="Arial Unicode MS"/>
        </w:rPr>
        <w:t xml:space="preserve">relativní </w:t>
      </w:r>
      <w:r w:rsidRPr="007A388D">
        <w:rPr>
          <w:rFonts w:eastAsia="Arial Unicode MS" w:cs="Arial Unicode MS"/>
        </w:rPr>
        <w:t>neatraktivnosti toho území souvisej</w:t>
      </w:r>
      <w:r w:rsidR="00E221E3" w:rsidRPr="007A388D">
        <w:rPr>
          <w:rFonts w:eastAsia="Arial Unicode MS" w:cs="Arial Unicode MS"/>
        </w:rPr>
        <w:t xml:space="preserve">ící s výše </w:t>
      </w:r>
      <w:r w:rsidR="00E221E3" w:rsidRPr="007A388D">
        <w:rPr>
          <w:rFonts w:eastAsia="Arial Unicode MS" w:cs="Arial Unicode MS"/>
        </w:rPr>
        <w:lastRenderedPageBreak/>
        <w:t xml:space="preserve">uvedenými body, </w:t>
      </w:r>
      <w:r w:rsidRPr="007A388D">
        <w:rPr>
          <w:rFonts w:eastAsia="Arial Unicode MS" w:cs="Arial Unicode MS"/>
        </w:rPr>
        <w:t>oblast</w:t>
      </w:r>
      <w:r w:rsidR="00E221E3" w:rsidRPr="007A388D">
        <w:rPr>
          <w:rFonts w:eastAsia="Arial Unicode MS" w:cs="Arial Unicode MS"/>
        </w:rPr>
        <w:t xml:space="preserve"> zaznamenává</w:t>
      </w:r>
      <w:r w:rsidRPr="007A388D">
        <w:rPr>
          <w:rFonts w:eastAsia="Arial Unicode MS" w:cs="Arial Unicode MS"/>
        </w:rPr>
        <w:t xml:space="preserve"> n</w:t>
      </w:r>
      <w:r w:rsidR="00E221E3" w:rsidRPr="007A388D">
        <w:rPr>
          <w:rFonts w:eastAsia="Arial Unicode MS" w:cs="Arial Unicode MS"/>
        </w:rPr>
        <w:t xml:space="preserve">egativní migrační vliv. </w:t>
      </w:r>
      <w:r w:rsidRPr="007A388D">
        <w:rPr>
          <w:rFonts w:eastAsia="Arial Unicode MS" w:cs="Arial Unicode MS"/>
        </w:rPr>
        <w:t xml:space="preserve">Na základě </w:t>
      </w:r>
      <w:r w:rsidR="00E221E3" w:rsidRPr="007A388D">
        <w:rPr>
          <w:rFonts w:eastAsia="Arial Unicode MS" w:cs="Arial Unicode MS"/>
        </w:rPr>
        <w:t xml:space="preserve">dat z </w:t>
      </w:r>
      <w:r w:rsidRPr="007A388D">
        <w:rPr>
          <w:rFonts w:eastAsia="Arial Unicode MS" w:cs="Arial Unicode MS"/>
        </w:rPr>
        <w:t xml:space="preserve">minulých období </w:t>
      </w:r>
      <w:r w:rsidR="00E221E3" w:rsidRPr="007A388D">
        <w:rPr>
          <w:rFonts w:eastAsia="Arial Unicode MS" w:cs="Arial Unicode MS"/>
        </w:rPr>
        <w:t xml:space="preserve">a z demografického vývoje </w:t>
      </w:r>
      <w:r w:rsidRPr="007A388D">
        <w:rPr>
          <w:rFonts w:eastAsia="Arial Unicode MS" w:cs="Arial Unicode MS"/>
        </w:rPr>
        <w:t xml:space="preserve">můžeme předpokládat neustálé </w:t>
      </w:r>
      <w:r w:rsidR="00E221E3" w:rsidRPr="007A388D">
        <w:rPr>
          <w:rFonts w:eastAsia="Arial Unicode MS" w:cs="Arial Unicode MS"/>
        </w:rPr>
        <w:t>zrychlování tohoto trendu</w:t>
      </w:r>
      <w:r w:rsidRPr="007A388D">
        <w:rPr>
          <w:rFonts w:eastAsia="Arial Unicode MS" w:cs="Arial Unicode MS"/>
        </w:rPr>
        <w:t>. Této situaci je třeba věnovat patřičnou pozornost a snažit se jí zabránit, aby nedocházelo k odchodu mladé kvalifikované populace</w:t>
      </w:r>
      <w:r w:rsidR="00E221E3" w:rsidRPr="007A388D">
        <w:rPr>
          <w:rFonts w:eastAsia="Arial Unicode MS" w:cs="Arial Unicode MS"/>
        </w:rPr>
        <w:t xml:space="preserve"> a zániku tradičního způsobu života v obcích i obcí samotných</w:t>
      </w:r>
      <w:r w:rsidRPr="007A388D">
        <w:rPr>
          <w:rFonts w:eastAsia="Arial Unicode MS" w:cs="Arial Unicode MS"/>
        </w:rPr>
        <w:t>.</w:t>
      </w:r>
    </w:p>
    <w:p w:rsidR="002D3866" w:rsidRDefault="002D3866" w:rsidP="002D3866">
      <w:pPr>
        <w:rPr>
          <w:rFonts w:ascii="Calibri" w:eastAsia="Calibri" w:hAnsi="Calibri" w:cs="Calibri"/>
        </w:rPr>
      </w:pPr>
      <w:r w:rsidRPr="00C51947">
        <w:rPr>
          <w:rFonts w:ascii="Calibri" w:eastAsia="Calibri" w:hAnsi="Calibri" w:cs="Calibri"/>
          <w:noProof/>
          <w:lang w:eastAsia="cs-CZ"/>
        </w:rPr>
        <w:drawing>
          <wp:inline distT="0" distB="0" distL="0" distR="0">
            <wp:extent cx="4371975" cy="2524125"/>
            <wp:effectExtent l="19050" t="0" r="9525" b="0"/>
            <wp:docPr id="2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3866" w:rsidRPr="008474F3" w:rsidRDefault="002D3866" w:rsidP="002D3866">
      <w:pPr>
        <w:rPr>
          <w:rFonts w:eastAsia="Arial Unicode MS" w:cs="Arial Unicode MS"/>
        </w:rPr>
      </w:pPr>
      <w:r w:rsidRPr="008474F3">
        <w:rPr>
          <w:rFonts w:eastAsia="Arial Unicode MS" w:cs="Arial Unicode MS"/>
        </w:rPr>
        <w:t>Graf: Migrace na území působnosti MAS</w:t>
      </w:r>
    </w:p>
    <w:p w:rsidR="000F7E1C" w:rsidRDefault="000F7E1C" w:rsidP="000F7E1C">
      <w:pPr>
        <w:pStyle w:val="Nadpis4"/>
      </w:pPr>
      <w:r w:rsidRPr="000F7E1C">
        <w:t>Věková struktura</w:t>
      </w:r>
    </w:p>
    <w:p w:rsidR="0033506E" w:rsidRPr="008474F3" w:rsidRDefault="0033506E" w:rsidP="0033506E">
      <w:pPr>
        <w:rPr>
          <w:rFonts w:eastAsia="Arial Unicode MS" w:cs="Arial Unicode MS"/>
        </w:rPr>
      </w:pPr>
      <w:r w:rsidRPr="008474F3">
        <w:rPr>
          <w:rFonts w:eastAsia="Arial Unicode MS" w:cs="Arial Unicode MS"/>
        </w:rPr>
        <w:t xml:space="preserve">Současným demografickým trendem je populační stárnutí. Ten se projevuje i </w:t>
      </w:r>
      <w:r w:rsidR="002F19B0">
        <w:rPr>
          <w:rFonts w:eastAsia="Arial Unicode MS" w:cs="Arial Unicode MS"/>
        </w:rPr>
        <w:t>v regionu MAS</w:t>
      </w:r>
      <w:r w:rsidRPr="008474F3">
        <w:rPr>
          <w:rFonts w:eastAsia="Arial Unicode MS" w:cs="Arial Unicode MS"/>
        </w:rPr>
        <w:t>. Z ekonomického a sociálního hlediska jde o změnu, která má dopad na ekonomickou zátěž obyvatelstva v produktivní</w:t>
      </w:r>
      <w:r w:rsidR="002F19B0">
        <w:rPr>
          <w:rFonts w:eastAsia="Arial Unicode MS" w:cs="Arial Unicode MS"/>
        </w:rPr>
        <w:t xml:space="preserve">m věku. </w:t>
      </w:r>
      <w:r w:rsidRPr="008474F3">
        <w:rPr>
          <w:rFonts w:eastAsia="Arial Unicode MS" w:cs="Arial Unicode MS"/>
        </w:rPr>
        <w:t xml:space="preserve">Změny věkové struktury za posledních 20 let jsou více než markantní. Počet obyvatel v postproduktivím věku stoupá a získává </w:t>
      </w:r>
      <w:r w:rsidR="00DC5F13">
        <w:rPr>
          <w:rFonts w:eastAsia="Arial Unicode MS" w:cs="Arial Unicode MS"/>
        </w:rPr>
        <w:t>v celé populaci stále větší podíl.</w:t>
      </w:r>
    </w:p>
    <w:p w:rsidR="0033506E" w:rsidRPr="00DC5F13" w:rsidRDefault="0033506E" w:rsidP="0033506E">
      <w:pPr>
        <w:rPr>
          <w:rFonts w:eastAsia="Arial Unicode MS" w:cs="Arial Unicode MS"/>
        </w:rPr>
      </w:pPr>
      <w:r w:rsidRPr="00DC5F13">
        <w:rPr>
          <w:rFonts w:eastAsia="Arial Unicode MS" w:cs="Arial Unicode MS"/>
        </w:rPr>
        <w:t>Detailní přehled současného stavu struktury dle jednotlivých obcí podává tabulka níže.</w:t>
      </w:r>
    </w:p>
    <w:tbl>
      <w:tblPr>
        <w:tblW w:w="7360" w:type="dxa"/>
        <w:tblCellMar>
          <w:left w:w="0" w:type="dxa"/>
          <w:right w:w="0" w:type="dxa"/>
        </w:tblCellMar>
        <w:tblLook w:val="04A0"/>
      </w:tblPr>
      <w:tblGrid>
        <w:gridCol w:w="2020"/>
        <w:gridCol w:w="820"/>
        <w:gridCol w:w="820"/>
        <w:gridCol w:w="820"/>
        <w:gridCol w:w="960"/>
        <w:gridCol w:w="960"/>
        <w:gridCol w:w="960"/>
      </w:tblGrid>
      <w:tr w:rsidR="002D3866" w:rsidRPr="00864C0C" w:rsidTr="001C5907">
        <w:trPr>
          <w:trHeight w:hRule="exact" w:val="227"/>
        </w:trPr>
        <w:tc>
          <w:tcPr>
            <w:tcW w:w="7360" w:type="dxa"/>
            <w:gridSpan w:val="7"/>
            <w:tcBorders>
              <w:top w:val="single" w:sz="8" w:space="0" w:color="auto"/>
              <w:left w:val="single" w:sz="8" w:space="0" w:color="auto"/>
              <w:bottom w:val="single" w:sz="4"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center"/>
              <w:rPr>
                <w:rFonts w:ascii="Calibri" w:hAnsi="Calibri" w:cs="Calibri"/>
                <w:b/>
                <w:bCs/>
                <w:color w:val="FFFFFF"/>
                <w:sz w:val="18"/>
                <w:szCs w:val="18"/>
              </w:rPr>
            </w:pPr>
            <w:r w:rsidRPr="00864C0C">
              <w:rPr>
                <w:rFonts w:ascii="Calibri" w:hAnsi="Calibri" w:cs="Calibri"/>
                <w:b/>
                <w:bCs/>
                <w:color w:val="FFFFFF"/>
                <w:sz w:val="18"/>
                <w:szCs w:val="18"/>
              </w:rPr>
              <w:t>Obyvatelstv</w:t>
            </w:r>
            <w:r w:rsidR="00DC5F13">
              <w:rPr>
                <w:rFonts w:ascii="Calibri" w:hAnsi="Calibri" w:cs="Calibri"/>
                <w:b/>
                <w:bCs/>
                <w:color w:val="FFFFFF"/>
                <w:sz w:val="18"/>
                <w:szCs w:val="18"/>
              </w:rPr>
              <w:t>o MAS Liromyšlsko k 31. 12. 2013</w:t>
            </w:r>
          </w:p>
        </w:tc>
      </w:tr>
      <w:tr w:rsidR="002D3866" w:rsidRPr="00864C0C" w:rsidTr="001C5907">
        <w:trPr>
          <w:trHeight w:hRule="exact" w:val="227"/>
        </w:trPr>
        <w:tc>
          <w:tcPr>
            <w:tcW w:w="2020" w:type="dxa"/>
            <w:tcBorders>
              <w:top w:val="nil"/>
              <w:left w:val="single" w:sz="8" w:space="0" w:color="auto"/>
              <w:bottom w:val="single" w:sz="8" w:space="0" w:color="auto"/>
              <w:right w:val="nil"/>
            </w:tcBorders>
            <w:shd w:val="clear" w:color="000000" w:fill="376091"/>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Obec název</w:t>
            </w:r>
          </w:p>
        </w:tc>
        <w:tc>
          <w:tcPr>
            <w:tcW w:w="820" w:type="dxa"/>
            <w:tcBorders>
              <w:top w:val="nil"/>
              <w:left w:val="single" w:sz="4" w:space="0" w:color="auto"/>
              <w:bottom w:val="single" w:sz="8" w:space="0" w:color="auto"/>
              <w:right w:val="single" w:sz="4" w:space="0" w:color="auto"/>
            </w:tcBorders>
            <w:shd w:val="clear" w:color="000000" w:fill="538ED5"/>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Celkem</w:t>
            </w:r>
          </w:p>
        </w:tc>
        <w:tc>
          <w:tcPr>
            <w:tcW w:w="820" w:type="dxa"/>
            <w:tcBorders>
              <w:top w:val="nil"/>
              <w:left w:val="nil"/>
              <w:bottom w:val="single" w:sz="8" w:space="0" w:color="auto"/>
              <w:right w:val="single" w:sz="4" w:space="0" w:color="auto"/>
            </w:tcBorders>
            <w:shd w:val="clear" w:color="000000" w:fill="538ED5"/>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Muži</w:t>
            </w:r>
          </w:p>
        </w:tc>
        <w:tc>
          <w:tcPr>
            <w:tcW w:w="820" w:type="dxa"/>
            <w:tcBorders>
              <w:top w:val="nil"/>
              <w:left w:val="nil"/>
              <w:bottom w:val="single" w:sz="8" w:space="0" w:color="auto"/>
              <w:right w:val="single" w:sz="4" w:space="0" w:color="auto"/>
            </w:tcBorders>
            <w:shd w:val="clear" w:color="000000" w:fill="538ED5"/>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Ženy</w:t>
            </w:r>
          </w:p>
        </w:tc>
        <w:tc>
          <w:tcPr>
            <w:tcW w:w="960" w:type="dxa"/>
            <w:tcBorders>
              <w:top w:val="nil"/>
              <w:left w:val="nil"/>
              <w:bottom w:val="single" w:sz="8" w:space="0" w:color="auto"/>
              <w:right w:val="single" w:sz="4" w:space="0" w:color="auto"/>
            </w:tcBorders>
            <w:shd w:val="clear" w:color="000000" w:fill="376091"/>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0–14 let</w:t>
            </w:r>
          </w:p>
        </w:tc>
        <w:tc>
          <w:tcPr>
            <w:tcW w:w="960" w:type="dxa"/>
            <w:tcBorders>
              <w:top w:val="nil"/>
              <w:left w:val="nil"/>
              <w:bottom w:val="single" w:sz="8" w:space="0" w:color="auto"/>
              <w:right w:val="single" w:sz="4" w:space="0" w:color="auto"/>
            </w:tcBorders>
            <w:shd w:val="clear" w:color="000000" w:fill="376091"/>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15–64 let</w:t>
            </w:r>
          </w:p>
        </w:tc>
        <w:tc>
          <w:tcPr>
            <w:tcW w:w="960" w:type="dxa"/>
            <w:tcBorders>
              <w:top w:val="nil"/>
              <w:left w:val="nil"/>
              <w:bottom w:val="single" w:sz="8" w:space="0" w:color="auto"/>
              <w:right w:val="nil"/>
            </w:tcBorders>
            <w:shd w:val="clear" w:color="000000" w:fill="376091"/>
            <w:tcMar>
              <w:top w:w="15" w:type="dxa"/>
              <w:left w:w="15" w:type="dxa"/>
              <w:bottom w:w="0" w:type="dxa"/>
              <w:right w:w="15" w:type="dxa"/>
            </w:tcMar>
            <w:vAlign w:val="center"/>
            <w:hideMark/>
          </w:tcPr>
          <w:p w:rsidR="002D3866" w:rsidRPr="00864C0C" w:rsidRDefault="002D3866" w:rsidP="001C5907">
            <w:pPr>
              <w:jc w:val="center"/>
              <w:rPr>
                <w:rFonts w:ascii="Arial" w:hAnsi="Arial" w:cs="Arial"/>
                <w:color w:val="FFFFFF"/>
                <w:sz w:val="18"/>
                <w:szCs w:val="18"/>
              </w:rPr>
            </w:pPr>
            <w:r w:rsidRPr="00864C0C">
              <w:rPr>
                <w:rFonts w:ascii="Arial" w:hAnsi="Arial" w:cs="Arial"/>
                <w:color w:val="FFFFFF"/>
                <w:sz w:val="18"/>
                <w:szCs w:val="18"/>
              </w:rPr>
              <w:t>65+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Benátky</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369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259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46</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Bohuňovice</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56</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23</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Bor u Skutče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71</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75</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Bučina</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228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112</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48</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Budislav</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225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299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Cerekvice nad Loučnou</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841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407</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596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České Heřmanice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550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270</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383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Čistá</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967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479</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488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191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642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134</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Desná</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159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Dolní Újezd</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1 983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979</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1 004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299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1 350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334</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Hluboká</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196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98</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lastRenderedPageBreak/>
              <w:t>Horky</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58</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Horní Újezd</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424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216</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Hrušová</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242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Chmelík</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92</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Chotěnov</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63</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Chotovice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65</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Janov</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997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474</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523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678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Jarošov</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Javorník</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261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135</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48</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Leština</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300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154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192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Libecina</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Litomyšl</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10 137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4 871</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5 266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1 471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6 804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1 862</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Lubná</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998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507</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491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669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182</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Makov</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327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163</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222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Morašice</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721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368</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353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108</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Němčice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961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501</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460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651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Nová Sídla</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48</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Nová Ves u Jarošova</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Nové Hrady</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165</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54</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Osík</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1 038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527</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511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717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151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Otradov</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150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193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Perálec</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242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Poříčí u Litomyšle</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450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245</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Proseč</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2 138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1 074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1 064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1 420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407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Příluka</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81</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Pustina</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34</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23</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Řídký</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37</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Sebranice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984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479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657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140</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Sedliště</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251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126</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176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Sloupnice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1 697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825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872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245</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1 117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335</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Strakov</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224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103</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30</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31</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Suchá Lhota</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46</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Tisová</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571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276</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295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379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104</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Trstěnice</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262</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246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341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83</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Tržek</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155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11</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Újezdec</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90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45</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21</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Vidlatá Seč</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276</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142</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204</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Vlčkov</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55</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45</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70</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Vračovice-Orlov</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85</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Vysoké Mýto</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12 436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6 080</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6 356</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1 997</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8 372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2 067</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Zádolí</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89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39</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58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Zálší</w:t>
            </w:r>
          </w:p>
        </w:tc>
        <w:tc>
          <w:tcPr>
            <w:tcW w:w="0" w:type="auto"/>
            <w:tcBorders>
              <w:top w:val="nil"/>
              <w:left w:val="single" w:sz="4" w:space="0" w:color="auto"/>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229</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121</w:t>
            </w:r>
          </w:p>
        </w:tc>
        <w:tc>
          <w:tcPr>
            <w:tcW w:w="0" w:type="auto"/>
            <w:tcBorders>
              <w:top w:val="nil"/>
              <w:left w:val="nil"/>
              <w:bottom w:val="nil"/>
              <w:right w:val="single" w:sz="4" w:space="0" w:color="auto"/>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108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32</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168</w:t>
            </w:r>
          </w:p>
        </w:tc>
        <w:tc>
          <w:tcPr>
            <w:tcW w:w="0" w:type="auto"/>
            <w:tcBorders>
              <w:top w:val="nil"/>
              <w:left w:val="nil"/>
              <w:bottom w:val="nil"/>
              <w:right w:val="nil"/>
            </w:tcBorders>
            <w:shd w:val="clear" w:color="000000" w:fill="8DB4E3"/>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29</w:t>
            </w:r>
          </w:p>
        </w:tc>
      </w:tr>
      <w:tr w:rsidR="002D3866" w:rsidRPr="00864C0C" w:rsidTr="001C5907">
        <w:trPr>
          <w:trHeight w:hRule="exact" w:val="227"/>
        </w:trPr>
        <w:tc>
          <w:tcPr>
            <w:tcW w:w="0" w:type="auto"/>
            <w:tcBorders>
              <w:top w:val="nil"/>
              <w:left w:val="single" w:sz="8"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rPr>
                <w:rFonts w:ascii="Arial" w:hAnsi="Arial" w:cs="Arial"/>
                <w:sz w:val="18"/>
                <w:szCs w:val="18"/>
              </w:rPr>
            </w:pPr>
            <w:r w:rsidRPr="00864C0C">
              <w:rPr>
                <w:rFonts w:ascii="Arial" w:hAnsi="Arial" w:cs="Arial"/>
                <w:sz w:val="18"/>
                <w:szCs w:val="18"/>
              </w:rPr>
              <w:t>Zderaz</w:t>
            </w:r>
          </w:p>
        </w:tc>
        <w:tc>
          <w:tcPr>
            <w:tcW w:w="0" w:type="auto"/>
            <w:tcBorders>
              <w:top w:val="nil"/>
              <w:left w:val="single" w:sz="4" w:space="0" w:color="auto"/>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277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140</w:t>
            </w:r>
          </w:p>
        </w:tc>
        <w:tc>
          <w:tcPr>
            <w:tcW w:w="0" w:type="auto"/>
            <w:tcBorders>
              <w:top w:val="nil"/>
              <w:left w:val="nil"/>
              <w:bottom w:val="nil"/>
              <w:right w:val="single" w:sz="4" w:space="0" w:color="auto"/>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137</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43</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188</w:t>
            </w:r>
          </w:p>
        </w:tc>
        <w:tc>
          <w:tcPr>
            <w:tcW w:w="0" w:type="auto"/>
            <w:tcBorders>
              <w:top w:val="nil"/>
              <w:left w:val="nil"/>
              <w:bottom w:val="nil"/>
              <w:right w:val="nil"/>
            </w:tcBorders>
            <w:shd w:val="clear" w:color="000000" w:fill="DBE5F1"/>
            <w:noWrap/>
            <w:tcMar>
              <w:top w:w="15" w:type="dxa"/>
              <w:left w:w="15" w:type="dxa"/>
              <w:bottom w:w="0" w:type="dxa"/>
              <w:right w:w="15" w:type="dxa"/>
            </w:tcMar>
            <w:vAlign w:val="center"/>
            <w:hideMark/>
          </w:tcPr>
          <w:p w:rsidR="002D3866" w:rsidRPr="00864C0C" w:rsidRDefault="002D3866" w:rsidP="001C5907">
            <w:pPr>
              <w:jc w:val="right"/>
              <w:rPr>
                <w:rFonts w:ascii="Arial" w:hAnsi="Arial" w:cs="Arial"/>
                <w:sz w:val="18"/>
                <w:szCs w:val="18"/>
              </w:rPr>
            </w:pPr>
            <w:r w:rsidRPr="00864C0C">
              <w:rPr>
                <w:rFonts w:ascii="Arial" w:hAnsi="Arial" w:cs="Arial"/>
                <w:sz w:val="18"/>
                <w:szCs w:val="18"/>
              </w:rPr>
              <w:t>46</w:t>
            </w:r>
          </w:p>
        </w:tc>
      </w:tr>
      <w:tr w:rsidR="002D3866" w:rsidRPr="00864C0C" w:rsidTr="001C5907">
        <w:trPr>
          <w:trHeight w:hRule="exact" w:val="227"/>
        </w:trPr>
        <w:tc>
          <w:tcPr>
            <w:tcW w:w="0" w:type="auto"/>
            <w:tcBorders>
              <w:top w:val="nil"/>
              <w:left w:val="single" w:sz="8" w:space="0" w:color="auto"/>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rPr>
                <w:rFonts w:ascii="Arial" w:hAnsi="Arial" w:cs="Arial"/>
                <w:b/>
                <w:bCs/>
                <w:color w:val="FFFFFF"/>
                <w:sz w:val="18"/>
                <w:szCs w:val="18"/>
              </w:rPr>
            </w:pPr>
            <w:r w:rsidRPr="00864C0C">
              <w:rPr>
                <w:rFonts w:ascii="Arial" w:hAnsi="Arial" w:cs="Arial"/>
                <w:b/>
                <w:bCs/>
                <w:color w:val="FFFFFF"/>
                <w:sz w:val="18"/>
                <w:szCs w:val="18"/>
              </w:rPr>
              <w:t>Celkem</w:t>
            </w:r>
          </w:p>
        </w:tc>
        <w:tc>
          <w:tcPr>
            <w:tcW w:w="0" w:type="auto"/>
            <w:tcBorders>
              <w:top w:val="nil"/>
              <w:left w:val="single" w:sz="4" w:space="0" w:color="auto"/>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45748</w:t>
            </w:r>
          </w:p>
        </w:tc>
        <w:tc>
          <w:tcPr>
            <w:tcW w:w="0" w:type="auto"/>
            <w:tcBorders>
              <w:top w:val="nil"/>
              <w:left w:val="nil"/>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22584</w:t>
            </w:r>
          </w:p>
        </w:tc>
        <w:tc>
          <w:tcPr>
            <w:tcW w:w="0" w:type="auto"/>
            <w:tcBorders>
              <w:top w:val="nil"/>
              <w:left w:val="nil"/>
              <w:bottom w:val="single" w:sz="8" w:space="0" w:color="auto"/>
              <w:right w:val="single" w:sz="4" w:space="0" w:color="auto"/>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23164</w:t>
            </w:r>
          </w:p>
        </w:tc>
        <w:tc>
          <w:tcPr>
            <w:tcW w:w="0" w:type="auto"/>
            <w:tcBorders>
              <w:top w:val="nil"/>
              <w:left w:val="nil"/>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7103</w:t>
            </w:r>
          </w:p>
        </w:tc>
        <w:tc>
          <w:tcPr>
            <w:tcW w:w="0" w:type="auto"/>
            <w:tcBorders>
              <w:top w:val="nil"/>
              <w:left w:val="nil"/>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30884</w:t>
            </w:r>
          </w:p>
        </w:tc>
        <w:tc>
          <w:tcPr>
            <w:tcW w:w="0" w:type="auto"/>
            <w:tcBorders>
              <w:top w:val="nil"/>
              <w:left w:val="nil"/>
              <w:bottom w:val="single" w:sz="8" w:space="0" w:color="auto"/>
              <w:right w:val="nil"/>
            </w:tcBorders>
            <w:shd w:val="clear" w:color="000000" w:fill="17375D"/>
            <w:noWrap/>
            <w:tcMar>
              <w:top w:w="15" w:type="dxa"/>
              <w:left w:w="15" w:type="dxa"/>
              <w:bottom w:w="0" w:type="dxa"/>
              <w:right w:w="15" w:type="dxa"/>
            </w:tcMar>
            <w:vAlign w:val="bottom"/>
            <w:hideMark/>
          </w:tcPr>
          <w:p w:rsidR="002D3866" w:rsidRPr="00864C0C" w:rsidRDefault="002D3866" w:rsidP="001C5907">
            <w:pPr>
              <w:jc w:val="right"/>
              <w:rPr>
                <w:rFonts w:ascii="Arial" w:hAnsi="Arial" w:cs="Arial"/>
                <w:b/>
                <w:bCs/>
                <w:color w:val="FFFFFF"/>
                <w:sz w:val="18"/>
                <w:szCs w:val="18"/>
              </w:rPr>
            </w:pPr>
            <w:r w:rsidRPr="00864C0C">
              <w:rPr>
                <w:rFonts w:ascii="Arial" w:hAnsi="Arial" w:cs="Arial"/>
                <w:b/>
                <w:bCs/>
                <w:color w:val="FFFFFF"/>
                <w:sz w:val="18"/>
                <w:szCs w:val="18"/>
              </w:rPr>
              <w:t>7761</w:t>
            </w:r>
          </w:p>
        </w:tc>
      </w:tr>
    </w:tbl>
    <w:p w:rsidR="002D3866" w:rsidRPr="00DC5F13" w:rsidRDefault="002D3866" w:rsidP="002D3866">
      <w:pPr>
        <w:rPr>
          <w:rFonts w:eastAsia="Arial Unicode MS" w:cs="Arial Unicode MS"/>
        </w:rPr>
      </w:pPr>
      <w:r w:rsidRPr="00DC5F13">
        <w:rPr>
          <w:rFonts w:eastAsia="Arial Unicode MS" w:cs="Arial Unicode MS"/>
        </w:rPr>
        <w:t>Tab.: Věková struktura obyvatelstva MAS k </w:t>
      </w:r>
      <w:r w:rsidR="00DC5F13">
        <w:rPr>
          <w:rFonts w:eastAsia="Arial Unicode MS" w:cs="Arial Unicode MS"/>
        </w:rPr>
        <w:t>3</w:t>
      </w:r>
      <w:r w:rsidRPr="00DC5F13">
        <w:rPr>
          <w:rFonts w:eastAsia="Arial Unicode MS" w:cs="Arial Unicode MS"/>
        </w:rPr>
        <w:t>1.1</w:t>
      </w:r>
      <w:r w:rsidR="00DC5F13">
        <w:rPr>
          <w:rFonts w:eastAsia="Arial Unicode MS" w:cs="Arial Unicode MS"/>
        </w:rPr>
        <w:t>2.2013</w:t>
      </w:r>
    </w:p>
    <w:p w:rsidR="002D3866" w:rsidRPr="00DC5F13" w:rsidRDefault="002D3866" w:rsidP="002D3866">
      <w:pPr>
        <w:rPr>
          <w:rFonts w:eastAsia="Arial Unicode MS" w:cs="Arial Unicode MS"/>
        </w:rPr>
      </w:pPr>
      <w:r w:rsidRPr="00DC5F13">
        <w:rPr>
          <w:rFonts w:eastAsia="Arial Unicode MS" w:cs="Arial Unicode MS"/>
        </w:rPr>
        <w:t xml:space="preserve">Jedním ze základních ukazatelů populačního stárnutí je index stáří. Hodnota ukazatele se v poslední době značně zvyšuje a predikce dalšího vývoje ukazují na neustálé navyšování této hodnoty.  Index stáří definuje poměr počtu obyvatel ve věku 60 a více let k počtu obyvatel ve věku 0-14 let. Nejhorší situace </w:t>
      </w:r>
      <w:r w:rsidR="000D75AD">
        <w:rPr>
          <w:rFonts w:eastAsia="Arial Unicode MS" w:cs="Arial Unicode MS"/>
        </w:rPr>
        <w:t>je evidentní</w:t>
      </w:r>
      <w:r w:rsidRPr="00DC5F13">
        <w:rPr>
          <w:rFonts w:eastAsia="Arial Unicode MS" w:cs="Arial Unicode MS"/>
        </w:rPr>
        <w:t xml:space="preserve"> v malých obcích, kde zůstává velký počet seniorů, zatímco mladí lidé se stěhují za prací</w:t>
      </w:r>
      <w:r w:rsidR="000D75AD">
        <w:rPr>
          <w:rFonts w:eastAsia="Arial Unicode MS" w:cs="Arial Unicode MS"/>
        </w:rPr>
        <w:t xml:space="preserve"> a vyžitím</w:t>
      </w:r>
      <w:r w:rsidRPr="00DC5F13">
        <w:rPr>
          <w:rFonts w:eastAsia="Arial Unicode MS" w:cs="Arial Unicode MS"/>
        </w:rPr>
        <w:t xml:space="preserve"> do větších měst. Průměrně nejlepší hodnoty indexu stáří vykazují obce střední velikosti s 500</w:t>
      </w:r>
      <w:r w:rsidR="00F23E6B">
        <w:rPr>
          <w:rFonts w:eastAsia="Arial Unicode MS" w:cs="Arial Unicode MS"/>
        </w:rPr>
        <w:t xml:space="preserve"> </w:t>
      </w:r>
      <w:r w:rsidRPr="00DC5F13">
        <w:rPr>
          <w:rFonts w:eastAsia="Arial Unicode MS" w:cs="Arial Unicode MS"/>
        </w:rPr>
        <w:t xml:space="preserve">- 1000 obyvateli. Nejhorší situace </w:t>
      </w:r>
      <w:r w:rsidR="000D75AD">
        <w:rPr>
          <w:rFonts w:eastAsia="Arial Unicode MS" w:cs="Arial Unicode MS"/>
        </w:rPr>
        <w:t>je pak</w:t>
      </w:r>
      <w:r w:rsidRPr="00DC5F13">
        <w:rPr>
          <w:rFonts w:eastAsia="Arial Unicode MS" w:cs="Arial Unicode MS"/>
        </w:rPr>
        <w:t xml:space="preserve"> v obcích Hluboká, Pustina, Řídký a Tržek, kde je index ne</w:t>
      </w:r>
      <w:r w:rsidR="000D75AD">
        <w:rPr>
          <w:rFonts w:eastAsia="Arial Unicode MS" w:cs="Arial Unicode MS"/>
        </w:rPr>
        <w:t>j</w:t>
      </w:r>
      <w:r w:rsidRPr="00DC5F13">
        <w:rPr>
          <w:rFonts w:eastAsia="Arial Unicode MS" w:cs="Arial Unicode MS"/>
        </w:rPr>
        <w:t xml:space="preserve">vyšší a </w:t>
      </w:r>
      <w:r w:rsidR="000D75AD">
        <w:rPr>
          <w:rFonts w:eastAsia="Arial Unicode MS" w:cs="Arial Unicode MS"/>
        </w:rPr>
        <w:t xml:space="preserve">je vysoko </w:t>
      </w:r>
      <w:r w:rsidR="000D75AD">
        <w:rPr>
          <w:rFonts w:eastAsia="Arial Unicode MS" w:cs="Arial Unicode MS"/>
        </w:rPr>
        <w:lastRenderedPageBreak/>
        <w:t>nad průměrem oblasti.</w:t>
      </w:r>
      <w:r w:rsidRPr="00DC5F13">
        <w:rPr>
          <w:rFonts w:eastAsia="Arial Unicode MS" w:cs="Arial Unicode MS"/>
        </w:rPr>
        <w:t xml:space="preserve"> Nejnižší index stáří mají obce Suchá Lhota, Benátky, Sebranice, Sedliště a Janov.</w:t>
      </w:r>
    </w:p>
    <w:tbl>
      <w:tblPr>
        <w:tblW w:w="5120" w:type="dxa"/>
        <w:tblInd w:w="60" w:type="dxa"/>
        <w:tblCellMar>
          <w:left w:w="70" w:type="dxa"/>
          <w:right w:w="70" w:type="dxa"/>
        </w:tblCellMar>
        <w:tblLook w:val="04A0"/>
      </w:tblPr>
      <w:tblGrid>
        <w:gridCol w:w="2576"/>
        <w:gridCol w:w="848"/>
        <w:gridCol w:w="848"/>
        <w:gridCol w:w="848"/>
      </w:tblGrid>
      <w:tr w:rsidR="002D3866" w:rsidRPr="00141DD9" w:rsidTr="001C5907">
        <w:trPr>
          <w:trHeight w:val="540"/>
        </w:trPr>
        <w:tc>
          <w:tcPr>
            <w:tcW w:w="5120" w:type="dxa"/>
            <w:gridSpan w:val="4"/>
            <w:tcBorders>
              <w:top w:val="single" w:sz="8" w:space="0" w:color="auto"/>
              <w:left w:val="single" w:sz="8" w:space="0" w:color="auto"/>
              <w:bottom w:val="single" w:sz="8" w:space="0" w:color="auto"/>
              <w:right w:val="single" w:sz="8" w:space="0" w:color="000000"/>
            </w:tcBorders>
            <w:shd w:val="clear" w:color="000000" w:fill="17375D"/>
            <w:vAlign w:val="bottom"/>
            <w:hideMark/>
          </w:tcPr>
          <w:p w:rsidR="002D3866" w:rsidRPr="00141DD9" w:rsidRDefault="002D3866" w:rsidP="001C5907">
            <w:pPr>
              <w:spacing w:after="0"/>
              <w:jc w:val="center"/>
              <w:rPr>
                <w:rFonts w:ascii="Arial" w:hAnsi="Arial" w:cs="Arial"/>
                <w:color w:val="FFFFFF"/>
                <w:sz w:val="18"/>
                <w:szCs w:val="18"/>
              </w:rPr>
            </w:pPr>
            <w:r w:rsidRPr="00141DD9">
              <w:rPr>
                <w:rFonts w:ascii="Arial" w:hAnsi="Arial" w:cs="Arial"/>
                <w:color w:val="FFFFFF"/>
                <w:sz w:val="18"/>
                <w:szCs w:val="18"/>
              </w:rPr>
              <w:t>Obyvatelstvo MAS index stáří dle počtu obyvatel v obcích</w:t>
            </w:r>
          </w:p>
        </w:tc>
      </w:tr>
      <w:tr w:rsidR="002D3866" w:rsidRPr="00141DD9" w:rsidTr="001C5907">
        <w:trPr>
          <w:trHeight w:val="495"/>
        </w:trPr>
        <w:tc>
          <w:tcPr>
            <w:tcW w:w="2576" w:type="dxa"/>
            <w:tcBorders>
              <w:top w:val="nil"/>
              <w:left w:val="single" w:sz="8" w:space="0" w:color="auto"/>
              <w:bottom w:val="single" w:sz="8" w:space="0" w:color="auto"/>
              <w:right w:val="nil"/>
            </w:tcBorders>
            <w:shd w:val="clear" w:color="000000" w:fill="538ED5"/>
            <w:vAlign w:val="center"/>
            <w:hideMark/>
          </w:tcPr>
          <w:p w:rsidR="002D3866" w:rsidRPr="00141DD9" w:rsidRDefault="002D3866" w:rsidP="001C5907">
            <w:pPr>
              <w:spacing w:after="0"/>
              <w:rPr>
                <w:rFonts w:ascii="Arial" w:hAnsi="Arial" w:cs="Arial"/>
                <w:color w:val="FFFFFF"/>
                <w:sz w:val="18"/>
                <w:szCs w:val="18"/>
              </w:rPr>
            </w:pPr>
            <w:r w:rsidRPr="00141DD9">
              <w:rPr>
                <w:rFonts w:ascii="Arial" w:hAnsi="Arial" w:cs="Arial"/>
                <w:color w:val="FFFFFF"/>
                <w:sz w:val="18"/>
                <w:szCs w:val="18"/>
              </w:rPr>
              <w:t>Obce podle počtu obyvatel</w:t>
            </w:r>
          </w:p>
        </w:tc>
        <w:tc>
          <w:tcPr>
            <w:tcW w:w="848" w:type="dxa"/>
            <w:tcBorders>
              <w:top w:val="nil"/>
              <w:left w:val="single" w:sz="8" w:space="0" w:color="auto"/>
              <w:bottom w:val="single" w:sz="8" w:space="0" w:color="auto"/>
              <w:right w:val="single" w:sz="8" w:space="0" w:color="auto"/>
            </w:tcBorders>
            <w:shd w:val="clear" w:color="000000" w:fill="538ED5"/>
            <w:noWrap/>
            <w:vAlign w:val="center"/>
            <w:hideMark/>
          </w:tcPr>
          <w:p w:rsidR="002D3866" w:rsidRPr="00141DD9" w:rsidRDefault="002D3866" w:rsidP="001C5907">
            <w:pPr>
              <w:spacing w:after="0"/>
              <w:jc w:val="center"/>
              <w:rPr>
                <w:rFonts w:ascii="Arial" w:hAnsi="Arial" w:cs="Arial"/>
                <w:color w:val="FFFFFF"/>
                <w:sz w:val="18"/>
                <w:szCs w:val="18"/>
              </w:rPr>
            </w:pPr>
            <w:r w:rsidRPr="00141DD9">
              <w:rPr>
                <w:rFonts w:ascii="Arial" w:hAnsi="Arial" w:cs="Arial"/>
                <w:color w:val="FFFFFF"/>
                <w:sz w:val="18"/>
                <w:szCs w:val="18"/>
              </w:rPr>
              <w:t>1991</w:t>
            </w:r>
          </w:p>
        </w:tc>
        <w:tc>
          <w:tcPr>
            <w:tcW w:w="848" w:type="dxa"/>
            <w:tcBorders>
              <w:top w:val="nil"/>
              <w:left w:val="nil"/>
              <w:bottom w:val="single" w:sz="8" w:space="0" w:color="auto"/>
              <w:right w:val="single" w:sz="8" w:space="0" w:color="auto"/>
            </w:tcBorders>
            <w:shd w:val="clear" w:color="000000" w:fill="538ED5"/>
            <w:noWrap/>
            <w:vAlign w:val="center"/>
            <w:hideMark/>
          </w:tcPr>
          <w:p w:rsidR="002D3866" w:rsidRPr="00141DD9" w:rsidRDefault="002D3866" w:rsidP="001C5907">
            <w:pPr>
              <w:spacing w:after="0"/>
              <w:jc w:val="center"/>
              <w:rPr>
                <w:rFonts w:ascii="Arial" w:hAnsi="Arial" w:cs="Arial"/>
                <w:color w:val="FFFFFF"/>
                <w:sz w:val="18"/>
                <w:szCs w:val="18"/>
              </w:rPr>
            </w:pPr>
            <w:r w:rsidRPr="00141DD9">
              <w:rPr>
                <w:rFonts w:ascii="Arial" w:hAnsi="Arial" w:cs="Arial"/>
                <w:color w:val="FFFFFF"/>
                <w:sz w:val="18"/>
                <w:szCs w:val="18"/>
              </w:rPr>
              <w:t>2001</w:t>
            </w:r>
          </w:p>
        </w:tc>
        <w:tc>
          <w:tcPr>
            <w:tcW w:w="848" w:type="dxa"/>
            <w:tcBorders>
              <w:top w:val="nil"/>
              <w:left w:val="nil"/>
              <w:bottom w:val="single" w:sz="8" w:space="0" w:color="auto"/>
              <w:right w:val="single" w:sz="8" w:space="0" w:color="auto"/>
            </w:tcBorders>
            <w:shd w:val="clear" w:color="000000" w:fill="538ED5"/>
            <w:noWrap/>
            <w:vAlign w:val="center"/>
            <w:hideMark/>
          </w:tcPr>
          <w:p w:rsidR="002D3866" w:rsidRPr="00141DD9" w:rsidRDefault="002D3866" w:rsidP="001C5907">
            <w:pPr>
              <w:spacing w:after="0"/>
              <w:jc w:val="center"/>
              <w:rPr>
                <w:rFonts w:ascii="Arial" w:hAnsi="Arial" w:cs="Arial"/>
                <w:color w:val="FFFFFF"/>
                <w:sz w:val="18"/>
                <w:szCs w:val="18"/>
              </w:rPr>
            </w:pPr>
            <w:r w:rsidRPr="00141DD9">
              <w:rPr>
                <w:rFonts w:ascii="Arial" w:hAnsi="Arial" w:cs="Arial"/>
                <w:color w:val="FFFFFF"/>
                <w:sz w:val="18"/>
                <w:szCs w:val="18"/>
              </w:rPr>
              <w:t>2011</w:t>
            </w:r>
          </w:p>
        </w:tc>
      </w:tr>
      <w:tr w:rsidR="002D3866" w:rsidRPr="00141DD9" w:rsidTr="001C5907">
        <w:trPr>
          <w:trHeight w:val="285"/>
        </w:trPr>
        <w:tc>
          <w:tcPr>
            <w:tcW w:w="2576" w:type="dxa"/>
            <w:tcBorders>
              <w:top w:val="nil"/>
              <w:left w:val="single" w:sz="8" w:space="0" w:color="auto"/>
              <w:bottom w:val="nil"/>
              <w:right w:val="single" w:sz="8" w:space="0" w:color="auto"/>
            </w:tcBorders>
            <w:shd w:val="clear" w:color="000000" w:fill="8DB4E3"/>
            <w:noWrap/>
            <w:vAlign w:val="bottom"/>
            <w:hideMark/>
          </w:tcPr>
          <w:p w:rsidR="002D3866" w:rsidRPr="00141DD9" w:rsidRDefault="002D3866" w:rsidP="001C5907">
            <w:pPr>
              <w:spacing w:after="0"/>
              <w:rPr>
                <w:rFonts w:ascii="Arial" w:hAnsi="Arial" w:cs="Arial"/>
                <w:color w:val="000000"/>
                <w:sz w:val="18"/>
                <w:szCs w:val="18"/>
              </w:rPr>
            </w:pPr>
            <w:r w:rsidRPr="00141DD9">
              <w:rPr>
                <w:rFonts w:ascii="Arial" w:hAnsi="Arial" w:cs="Arial"/>
                <w:color w:val="000000"/>
                <w:sz w:val="18"/>
                <w:szCs w:val="18"/>
              </w:rPr>
              <w:t xml:space="preserve">1-200 </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123</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85</w:t>
            </w:r>
          </w:p>
        </w:tc>
        <w:tc>
          <w:tcPr>
            <w:tcW w:w="848" w:type="dxa"/>
            <w:tcBorders>
              <w:top w:val="nil"/>
              <w:left w:val="nil"/>
              <w:bottom w:val="nil"/>
              <w:right w:val="single" w:sz="8" w:space="0" w:color="auto"/>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169</w:t>
            </w:r>
          </w:p>
        </w:tc>
      </w:tr>
      <w:tr w:rsidR="002D3866" w:rsidRPr="00141DD9" w:rsidTr="001C5907">
        <w:trPr>
          <w:trHeight w:val="285"/>
        </w:trPr>
        <w:tc>
          <w:tcPr>
            <w:tcW w:w="2576" w:type="dxa"/>
            <w:tcBorders>
              <w:top w:val="nil"/>
              <w:left w:val="single" w:sz="8" w:space="0" w:color="auto"/>
              <w:bottom w:val="nil"/>
              <w:right w:val="single" w:sz="8" w:space="0" w:color="auto"/>
            </w:tcBorders>
            <w:shd w:val="clear" w:color="000000" w:fill="DBE5F1"/>
            <w:noWrap/>
            <w:vAlign w:val="bottom"/>
            <w:hideMark/>
          </w:tcPr>
          <w:p w:rsidR="002D3866" w:rsidRPr="00141DD9" w:rsidRDefault="002D3866" w:rsidP="001C5907">
            <w:pPr>
              <w:spacing w:after="0"/>
              <w:rPr>
                <w:rFonts w:ascii="Arial" w:hAnsi="Arial" w:cs="Arial"/>
                <w:color w:val="000000"/>
                <w:sz w:val="18"/>
                <w:szCs w:val="18"/>
              </w:rPr>
            </w:pPr>
            <w:r w:rsidRPr="00141DD9">
              <w:rPr>
                <w:rFonts w:ascii="Arial" w:hAnsi="Arial" w:cs="Arial"/>
                <w:color w:val="000000"/>
                <w:sz w:val="18"/>
                <w:szCs w:val="18"/>
              </w:rPr>
              <w:t>201-500</w:t>
            </w:r>
          </w:p>
        </w:tc>
        <w:tc>
          <w:tcPr>
            <w:tcW w:w="848" w:type="dxa"/>
            <w:tcBorders>
              <w:top w:val="nil"/>
              <w:left w:val="nil"/>
              <w:bottom w:val="nil"/>
              <w:right w:val="nil"/>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97</w:t>
            </w:r>
          </w:p>
        </w:tc>
        <w:tc>
          <w:tcPr>
            <w:tcW w:w="848" w:type="dxa"/>
            <w:tcBorders>
              <w:top w:val="nil"/>
              <w:left w:val="nil"/>
              <w:bottom w:val="nil"/>
              <w:right w:val="nil"/>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60</w:t>
            </w:r>
          </w:p>
        </w:tc>
        <w:tc>
          <w:tcPr>
            <w:tcW w:w="848" w:type="dxa"/>
            <w:tcBorders>
              <w:top w:val="nil"/>
              <w:left w:val="nil"/>
              <w:bottom w:val="nil"/>
              <w:right w:val="single" w:sz="8" w:space="0" w:color="auto"/>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144</w:t>
            </w:r>
          </w:p>
        </w:tc>
      </w:tr>
      <w:tr w:rsidR="002D3866" w:rsidRPr="00141DD9" w:rsidTr="001C5907">
        <w:trPr>
          <w:trHeight w:val="285"/>
        </w:trPr>
        <w:tc>
          <w:tcPr>
            <w:tcW w:w="2576" w:type="dxa"/>
            <w:tcBorders>
              <w:top w:val="nil"/>
              <w:left w:val="single" w:sz="8" w:space="0" w:color="auto"/>
              <w:bottom w:val="nil"/>
              <w:right w:val="single" w:sz="8" w:space="0" w:color="auto"/>
            </w:tcBorders>
            <w:shd w:val="clear" w:color="000000" w:fill="8DB4E3"/>
            <w:noWrap/>
            <w:vAlign w:val="bottom"/>
            <w:hideMark/>
          </w:tcPr>
          <w:p w:rsidR="002D3866" w:rsidRPr="00141DD9" w:rsidRDefault="002D3866" w:rsidP="001C5907">
            <w:pPr>
              <w:spacing w:after="0"/>
              <w:rPr>
                <w:rFonts w:ascii="Arial" w:hAnsi="Arial" w:cs="Arial"/>
                <w:color w:val="000000"/>
                <w:sz w:val="18"/>
                <w:szCs w:val="18"/>
              </w:rPr>
            </w:pPr>
            <w:r w:rsidRPr="00141DD9">
              <w:rPr>
                <w:rFonts w:ascii="Arial" w:hAnsi="Arial" w:cs="Arial"/>
                <w:color w:val="000000"/>
                <w:sz w:val="18"/>
                <w:szCs w:val="18"/>
              </w:rPr>
              <w:t>501-1000</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78</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54</w:t>
            </w:r>
          </w:p>
        </w:tc>
        <w:tc>
          <w:tcPr>
            <w:tcW w:w="848" w:type="dxa"/>
            <w:tcBorders>
              <w:top w:val="nil"/>
              <w:left w:val="nil"/>
              <w:bottom w:val="nil"/>
              <w:right w:val="single" w:sz="8" w:space="0" w:color="auto"/>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118</w:t>
            </w:r>
          </w:p>
        </w:tc>
      </w:tr>
      <w:tr w:rsidR="002D3866" w:rsidRPr="00141DD9" w:rsidTr="001C5907">
        <w:trPr>
          <w:trHeight w:val="300"/>
        </w:trPr>
        <w:tc>
          <w:tcPr>
            <w:tcW w:w="2576" w:type="dxa"/>
            <w:tcBorders>
              <w:top w:val="nil"/>
              <w:left w:val="single" w:sz="8" w:space="0" w:color="auto"/>
              <w:bottom w:val="nil"/>
              <w:right w:val="single" w:sz="8" w:space="0" w:color="auto"/>
            </w:tcBorders>
            <w:shd w:val="clear" w:color="000000" w:fill="DBE5F1"/>
            <w:noWrap/>
            <w:vAlign w:val="bottom"/>
            <w:hideMark/>
          </w:tcPr>
          <w:p w:rsidR="002D3866" w:rsidRPr="00141DD9" w:rsidRDefault="002D3866" w:rsidP="001C5907">
            <w:pPr>
              <w:spacing w:after="0"/>
              <w:rPr>
                <w:rFonts w:ascii="Arial" w:hAnsi="Arial" w:cs="Arial"/>
                <w:color w:val="000000"/>
                <w:sz w:val="18"/>
                <w:szCs w:val="18"/>
              </w:rPr>
            </w:pPr>
            <w:r w:rsidRPr="00141DD9">
              <w:rPr>
                <w:rFonts w:ascii="Arial" w:hAnsi="Arial" w:cs="Arial"/>
                <w:color w:val="000000"/>
                <w:sz w:val="18"/>
                <w:szCs w:val="18"/>
              </w:rPr>
              <w:t>1001-2000</w:t>
            </w:r>
          </w:p>
        </w:tc>
        <w:tc>
          <w:tcPr>
            <w:tcW w:w="848" w:type="dxa"/>
            <w:tcBorders>
              <w:top w:val="nil"/>
              <w:left w:val="nil"/>
              <w:bottom w:val="nil"/>
              <w:right w:val="nil"/>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84</w:t>
            </w:r>
          </w:p>
        </w:tc>
        <w:tc>
          <w:tcPr>
            <w:tcW w:w="848" w:type="dxa"/>
            <w:tcBorders>
              <w:top w:val="nil"/>
              <w:left w:val="nil"/>
              <w:bottom w:val="nil"/>
              <w:right w:val="nil"/>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60</w:t>
            </w:r>
          </w:p>
        </w:tc>
        <w:tc>
          <w:tcPr>
            <w:tcW w:w="848" w:type="dxa"/>
            <w:tcBorders>
              <w:top w:val="nil"/>
              <w:left w:val="nil"/>
              <w:bottom w:val="nil"/>
              <w:right w:val="single" w:sz="8" w:space="0" w:color="auto"/>
            </w:tcBorders>
            <w:shd w:val="clear" w:color="000000" w:fill="DBE5F1"/>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147</w:t>
            </w:r>
          </w:p>
        </w:tc>
      </w:tr>
      <w:tr w:rsidR="002D3866" w:rsidRPr="00141DD9" w:rsidTr="001C5907">
        <w:trPr>
          <w:trHeight w:val="300"/>
        </w:trPr>
        <w:tc>
          <w:tcPr>
            <w:tcW w:w="2576" w:type="dxa"/>
            <w:tcBorders>
              <w:top w:val="nil"/>
              <w:left w:val="single" w:sz="8" w:space="0" w:color="auto"/>
              <w:bottom w:val="nil"/>
              <w:right w:val="single" w:sz="8" w:space="0" w:color="auto"/>
            </w:tcBorders>
            <w:shd w:val="clear" w:color="000000" w:fill="8DB4E3"/>
            <w:noWrap/>
            <w:vAlign w:val="bottom"/>
            <w:hideMark/>
          </w:tcPr>
          <w:p w:rsidR="002D3866" w:rsidRPr="00141DD9" w:rsidRDefault="002D3866" w:rsidP="001C5907">
            <w:pPr>
              <w:spacing w:after="0"/>
              <w:rPr>
                <w:rFonts w:ascii="Arial" w:hAnsi="Arial" w:cs="Arial"/>
                <w:color w:val="000000"/>
                <w:sz w:val="18"/>
                <w:szCs w:val="18"/>
              </w:rPr>
            </w:pPr>
            <w:r w:rsidRPr="00141DD9">
              <w:rPr>
                <w:rFonts w:ascii="Arial" w:hAnsi="Arial" w:cs="Arial"/>
                <w:color w:val="000000"/>
                <w:sz w:val="18"/>
                <w:szCs w:val="18"/>
              </w:rPr>
              <w:t>2001-13000</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77</w:t>
            </w:r>
          </w:p>
        </w:tc>
        <w:tc>
          <w:tcPr>
            <w:tcW w:w="848" w:type="dxa"/>
            <w:tcBorders>
              <w:top w:val="nil"/>
              <w:left w:val="nil"/>
              <w:bottom w:val="nil"/>
              <w:right w:val="nil"/>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64</w:t>
            </w:r>
          </w:p>
        </w:tc>
        <w:tc>
          <w:tcPr>
            <w:tcW w:w="848" w:type="dxa"/>
            <w:tcBorders>
              <w:top w:val="nil"/>
              <w:left w:val="nil"/>
              <w:bottom w:val="nil"/>
              <w:right w:val="single" w:sz="8" w:space="0" w:color="auto"/>
            </w:tcBorders>
            <w:shd w:val="clear" w:color="000000" w:fill="8DB4E3"/>
            <w:noWrap/>
            <w:vAlign w:val="bottom"/>
            <w:hideMark/>
          </w:tcPr>
          <w:p w:rsidR="002D3866" w:rsidRPr="00141DD9" w:rsidRDefault="002D3866" w:rsidP="001C5907">
            <w:pPr>
              <w:spacing w:after="0"/>
              <w:jc w:val="center"/>
              <w:rPr>
                <w:rFonts w:ascii="Arial" w:hAnsi="Arial" w:cs="Arial"/>
                <w:color w:val="000000"/>
                <w:sz w:val="18"/>
                <w:szCs w:val="18"/>
              </w:rPr>
            </w:pPr>
            <w:r w:rsidRPr="00141DD9">
              <w:rPr>
                <w:rFonts w:ascii="Arial" w:hAnsi="Arial" w:cs="Arial"/>
                <w:color w:val="000000"/>
                <w:sz w:val="18"/>
                <w:szCs w:val="18"/>
              </w:rPr>
              <w:t>151</w:t>
            </w:r>
          </w:p>
        </w:tc>
      </w:tr>
      <w:tr w:rsidR="002D3866" w:rsidRPr="00141DD9" w:rsidTr="001C5907">
        <w:trPr>
          <w:trHeight w:val="300"/>
        </w:trPr>
        <w:tc>
          <w:tcPr>
            <w:tcW w:w="2576" w:type="dxa"/>
            <w:tcBorders>
              <w:top w:val="single" w:sz="8" w:space="0" w:color="auto"/>
              <w:left w:val="single" w:sz="8" w:space="0" w:color="auto"/>
              <w:bottom w:val="single" w:sz="8" w:space="0" w:color="auto"/>
              <w:right w:val="single" w:sz="8" w:space="0" w:color="auto"/>
            </w:tcBorders>
            <w:shd w:val="clear" w:color="000000" w:fill="17375D"/>
            <w:noWrap/>
            <w:vAlign w:val="bottom"/>
            <w:hideMark/>
          </w:tcPr>
          <w:p w:rsidR="002D3866" w:rsidRPr="00141DD9" w:rsidRDefault="002D3866" w:rsidP="001C5907">
            <w:pPr>
              <w:spacing w:after="0"/>
              <w:rPr>
                <w:rFonts w:ascii="Arial" w:hAnsi="Arial" w:cs="Arial"/>
                <w:color w:val="FFFFFF"/>
                <w:sz w:val="18"/>
                <w:szCs w:val="18"/>
              </w:rPr>
            </w:pPr>
            <w:r w:rsidRPr="00141DD9">
              <w:rPr>
                <w:rFonts w:ascii="Arial" w:hAnsi="Arial" w:cs="Arial"/>
                <w:color w:val="FFFFFF"/>
                <w:sz w:val="18"/>
                <w:szCs w:val="18"/>
              </w:rPr>
              <w:t xml:space="preserve">Celkový index </w:t>
            </w:r>
          </w:p>
        </w:tc>
        <w:tc>
          <w:tcPr>
            <w:tcW w:w="848" w:type="dxa"/>
            <w:tcBorders>
              <w:top w:val="nil"/>
              <w:left w:val="nil"/>
              <w:bottom w:val="single" w:sz="8" w:space="0" w:color="auto"/>
              <w:right w:val="nil"/>
            </w:tcBorders>
            <w:shd w:val="clear" w:color="000000" w:fill="17375D"/>
            <w:noWrap/>
            <w:vAlign w:val="bottom"/>
            <w:hideMark/>
          </w:tcPr>
          <w:p w:rsidR="002D3866" w:rsidRPr="00141DD9" w:rsidRDefault="002D3866" w:rsidP="001C5907">
            <w:pPr>
              <w:spacing w:after="0"/>
              <w:jc w:val="center"/>
              <w:rPr>
                <w:rFonts w:ascii="Arial" w:hAnsi="Arial" w:cs="Arial"/>
                <w:b/>
                <w:bCs/>
                <w:color w:val="FFFFFF"/>
                <w:sz w:val="18"/>
                <w:szCs w:val="18"/>
              </w:rPr>
            </w:pPr>
            <w:r w:rsidRPr="00141DD9">
              <w:rPr>
                <w:rFonts w:ascii="Arial" w:hAnsi="Arial" w:cs="Arial"/>
                <w:b/>
                <w:bCs/>
                <w:color w:val="FFFFFF"/>
                <w:sz w:val="18"/>
                <w:szCs w:val="18"/>
              </w:rPr>
              <w:t>84</w:t>
            </w:r>
          </w:p>
        </w:tc>
        <w:tc>
          <w:tcPr>
            <w:tcW w:w="848" w:type="dxa"/>
            <w:tcBorders>
              <w:top w:val="nil"/>
              <w:left w:val="nil"/>
              <w:bottom w:val="single" w:sz="8" w:space="0" w:color="auto"/>
              <w:right w:val="nil"/>
            </w:tcBorders>
            <w:shd w:val="clear" w:color="000000" w:fill="17375D"/>
            <w:noWrap/>
            <w:vAlign w:val="bottom"/>
            <w:hideMark/>
          </w:tcPr>
          <w:p w:rsidR="002D3866" w:rsidRPr="00141DD9" w:rsidRDefault="002D3866" w:rsidP="001C5907">
            <w:pPr>
              <w:spacing w:after="0"/>
              <w:jc w:val="center"/>
              <w:rPr>
                <w:rFonts w:ascii="Arial" w:hAnsi="Arial" w:cs="Arial"/>
                <w:b/>
                <w:bCs/>
                <w:color w:val="FFFFFF"/>
                <w:sz w:val="18"/>
                <w:szCs w:val="18"/>
              </w:rPr>
            </w:pPr>
            <w:r w:rsidRPr="00141DD9">
              <w:rPr>
                <w:rFonts w:ascii="Arial" w:hAnsi="Arial" w:cs="Arial"/>
                <w:b/>
                <w:bCs/>
                <w:color w:val="FFFFFF"/>
                <w:sz w:val="18"/>
                <w:szCs w:val="18"/>
              </w:rPr>
              <w:t>62</w:t>
            </w:r>
          </w:p>
        </w:tc>
        <w:tc>
          <w:tcPr>
            <w:tcW w:w="848" w:type="dxa"/>
            <w:tcBorders>
              <w:top w:val="nil"/>
              <w:left w:val="nil"/>
              <w:bottom w:val="single" w:sz="8" w:space="0" w:color="auto"/>
              <w:right w:val="single" w:sz="8" w:space="0" w:color="auto"/>
            </w:tcBorders>
            <w:shd w:val="clear" w:color="000000" w:fill="17375D"/>
            <w:noWrap/>
            <w:vAlign w:val="bottom"/>
            <w:hideMark/>
          </w:tcPr>
          <w:p w:rsidR="002D3866" w:rsidRPr="00141DD9" w:rsidRDefault="002D3866" w:rsidP="001C5907">
            <w:pPr>
              <w:spacing w:after="0"/>
              <w:jc w:val="center"/>
              <w:rPr>
                <w:rFonts w:ascii="Arial" w:hAnsi="Arial" w:cs="Arial"/>
                <w:b/>
                <w:bCs/>
                <w:color w:val="FFFFFF"/>
                <w:sz w:val="18"/>
                <w:szCs w:val="18"/>
              </w:rPr>
            </w:pPr>
            <w:r w:rsidRPr="00141DD9">
              <w:rPr>
                <w:rFonts w:ascii="Arial" w:hAnsi="Arial" w:cs="Arial"/>
                <w:b/>
                <w:bCs/>
                <w:color w:val="FFFFFF"/>
                <w:sz w:val="18"/>
                <w:szCs w:val="18"/>
              </w:rPr>
              <w:t>145</w:t>
            </w:r>
          </w:p>
        </w:tc>
      </w:tr>
    </w:tbl>
    <w:p w:rsidR="002D3866" w:rsidRDefault="002D3866" w:rsidP="002D3866">
      <w:pPr>
        <w:rPr>
          <w:rFonts w:ascii="Calibri" w:eastAsia="Calibri" w:hAnsi="Calibri" w:cs="Calibri"/>
        </w:rPr>
      </w:pPr>
      <w:r>
        <w:rPr>
          <w:rFonts w:ascii="Calibri" w:eastAsia="Calibri" w:hAnsi="Calibri" w:cs="Calibri"/>
        </w:rPr>
        <w:t>Tab.: Index stáří v </w:t>
      </w:r>
      <w:r w:rsidR="00155A8A">
        <w:rPr>
          <w:rFonts w:ascii="Calibri" w:eastAsia="Calibri" w:hAnsi="Calibri" w:cs="Calibri"/>
        </w:rPr>
        <w:t>regionu (poč. ob. 60+/poč.ob. 0-14)</w:t>
      </w:r>
    </w:p>
    <w:p w:rsidR="00120802" w:rsidRDefault="000F7E1C" w:rsidP="000F7E1C">
      <w:pPr>
        <w:pStyle w:val="Nadpis4"/>
      </w:pPr>
      <w:r w:rsidRPr="000F7E1C">
        <w:t>V</w:t>
      </w:r>
      <w:r w:rsidR="00AD5BFA">
        <w:t>zdělanostní struktura</w:t>
      </w:r>
    </w:p>
    <w:p w:rsidR="0033506E" w:rsidRDefault="0012051C" w:rsidP="0033506E">
      <w:r>
        <w:t>Na území působnosti MAS</w:t>
      </w:r>
      <w:r w:rsidR="0033506E">
        <w:t xml:space="preserve"> Litomyšlsko je možné získat základní až vyšší odborné vzdělání. V oblasti se nenachází instituce Vysoké školy či Univerzity, které by poskytovala vysokoškolské vzdělání. </w:t>
      </w:r>
    </w:p>
    <w:p w:rsidR="0033506E" w:rsidRPr="000A38C2" w:rsidRDefault="0033506E" w:rsidP="0033506E">
      <w:r>
        <w:t>Podrobnou strukturu vzdělanosti podle jednotlivých obcí popisuje tabulka níže. Data o úrovni nejvyššího ukončeného vzdělání se týká obyvatel starších 15 let.</w:t>
      </w:r>
    </w:p>
    <w:tbl>
      <w:tblPr>
        <w:tblW w:w="5000" w:type="pct"/>
        <w:tblLayout w:type="fixed"/>
        <w:tblCellMar>
          <w:left w:w="70" w:type="dxa"/>
          <w:right w:w="70" w:type="dxa"/>
        </w:tblCellMar>
        <w:tblLook w:val="04A0"/>
      </w:tblPr>
      <w:tblGrid>
        <w:gridCol w:w="2171"/>
        <w:gridCol w:w="642"/>
        <w:gridCol w:w="641"/>
        <w:gridCol w:w="641"/>
        <w:gridCol w:w="440"/>
        <w:gridCol w:w="779"/>
        <w:gridCol w:w="551"/>
        <w:gridCol w:w="641"/>
        <w:gridCol w:w="544"/>
        <w:gridCol w:w="440"/>
        <w:gridCol w:w="661"/>
        <w:gridCol w:w="505"/>
        <w:gridCol w:w="556"/>
      </w:tblGrid>
      <w:tr w:rsidR="0033506E" w:rsidRPr="00E172EE" w:rsidTr="001C5907">
        <w:trPr>
          <w:trHeight w:val="315"/>
        </w:trPr>
        <w:tc>
          <w:tcPr>
            <w:tcW w:w="5000" w:type="pct"/>
            <w:gridSpan w:val="13"/>
            <w:tcBorders>
              <w:top w:val="nil"/>
              <w:left w:val="nil"/>
              <w:bottom w:val="single" w:sz="8" w:space="0" w:color="auto"/>
              <w:right w:val="nil"/>
            </w:tcBorders>
            <w:shd w:val="clear" w:color="000000" w:fill="17375D"/>
            <w:noWrap/>
            <w:vAlign w:val="bottom"/>
            <w:hideMark/>
          </w:tcPr>
          <w:p w:rsidR="0033506E" w:rsidRPr="00E172EE" w:rsidRDefault="0033506E" w:rsidP="001C5907">
            <w:pPr>
              <w:spacing w:after="0"/>
              <w:rPr>
                <w:rFonts w:ascii="Arial" w:hAnsi="Arial" w:cs="Arial"/>
                <w:b/>
                <w:bCs/>
                <w:color w:val="FFFFFF"/>
                <w:sz w:val="18"/>
                <w:szCs w:val="18"/>
              </w:rPr>
            </w:pPr>
            <w:r w:rsidRPr="00E172EE">
              <w:rPr>
                <w:rFonts w:ascii="Arial" w:hAnsi="Arial" w:cs="Arial"/>
                <w:b/>
                <w:bCs/>
                <w:color w:val="FFFFFF"/>
                <w:sz w:val="18"/>
                <w:szCs w:val="18"/>
              </w:rPr>
              <w:t>Obyvatelstvo MAS Litomyšlsko- struktura vzdělanosti</w:t>
            </w:r>
          </w:p>
        </w:tc>
      </w:tr>
      <w:tr w:rsidR="0033506E" w:rsidRPr="00E172EE" w:rsidTr="001C5907">
        <w:trPr>
          <w:cantSplit/>
          <w:trHeight w:val="1455"/>
        </w:trPr>
        <w:tc>
          <w:tcPr>
            <w:tcW w:w="1178" w:type="pct"/>
            <w:tcBorders>
              <w:top w:val="nil"/>
              <w:left w:val="single" w:sz="8" w:space="0" w:color="auto"/>
              <w:bottom w:val="nil"/>
              <w:right w:val="single" w:sz="8" w:space="0" w:color="auto"/>
            </w:tcBorders>
            <w:shd w:val="clear" w:color="CCCCFF" w:fill="376091"/>
            <w:textDirection w:val="btLr"/>
            <w:vAlign w:val="center"/>
            <w:hideMark/>
          </w:tcPr>
          <w:p w:rsidR="0033506E" w:rsidRPr="00E172EE" w:rsidRDefault="0033506E" w:rsidP="001C5907">
            <w:pPr>
              <w:spacing w:after="0"/>
              <w:ind w:left="113" w:right="113"/>
              <w:rPr>
                <w:rFonts w:ascii="Arial" w:hAnsi="Arial" w:cs="Arial"/>
                <w:b/>
                <w:bCs/>
                <w:color w:val="FFFFFF"/>
                <w:sz w:val="18"/>
                <w:szCs w:val="18"/>
              </w:rPr>
            </w:pPr>
            <w:r w:rsidRPr="00E172EE">
              <w:rPr>
                <w:rFonts w:ascii="Arial" w:hAnsi="Arial" w:cs="Arial"/>
                <w:b/>
                <w:bCs/>
                <w:color w:val="FFFFFF"/>
                <w:sz w:val="18"/>
                <w:szCs w:val="18"/>
              </w:rPr>
              <w:t>Obec název</w:t>
            </w:r>
          </w:p>
        </w:tc>
        <w:tc>
          <w:tcPr>
            <w:tcW w:w="348" w:type="pct"/>
            <w:tcBorders>
              <w:top w:val="nil"/>
              <w:left w:val="nil"/>
              <w:bottom w:val="single" w:sz="8" w:space="0" w:color="auto"/>
              <w:right w:val="single" w:sz="8" w:space="0" w:color="auto"/>
            </w:tcBorders>
            <w:shd w:val="clear" w:color="CCCCFF" w:fill="538ED5"/>
            <w:textDirection w:val="btLr"/>
            <w:vAlign w:val="center"/>
            <w:hideMark/>
          </w:tcPr>
          <w:p w:rsidR="0033506E" w:rsidRPr="00E172EE" w:rsidRDefault="0033506E" w:rsidP="001C5907">
            <w:pPr>
              <w:spacing w:after="0"/>
              <w:ind w:left="113" w:right="113"/>
              <w:rPr>
                <w:rFonts w:ascii="Arial" w:hAnsi="Arial" w:cs="Arial"/>
                <w:color w:val="FFFFFF"/>
                <w:sz w:val="18"/>
                <w:szCs w:val="18"/>
              </w:rPr>
            </w:pPr>
            <w:r w:rsidRPr="00E172EE">
              <w:rPr>
                <w:rFonts w:ascii="Arial" w:hAnsi="Arial" w:cs="Arial"/>
                <w:color w:val="FFFFFF"/>
                <w:sz w:val="18"/>
                <w:szCs w:val="18"/>
              </w:rPr>
              <w:t xml:space="preserve">Celkem </w:t>
            </w:r>
          </w:p>
        </w:tc>
        <w:tc>
          <w:tcPr>
            <w:tcW w:w="348" w:type="pct"/>
            <w:tcBorders>
              <w:top w:val="nil"/>
              <w:left w:val="nil"/>
              <w:bottom w:val="single" w:sz="8" w:space="0" w:color="auto"/>
              <w:right w:val="single" w:sz="8" w:space="0" w:color="auto"/>
            </w:tcBorders>
            <w:shd w:val="clear" w:color="CCCCFF" w:fill="538ED5"/>
            <w:textDirection w:val="btLr"/>
            <w:vAlign w:val="center"/>
            <w:hideMark/>
          </w:tcPr>
          <w:p w:rsidR="0033506E" w:rsidRPr="00E172EE" w:rsidRDefault="0033506E" w:rsidP="001C5907">
            <w:pPr>
              <w:spacing w:after="0"/>
              <w:ind w:left="113" w:right="113"/>
              <w:rPr>
                <w:rFonts w:ascii="Arial" w:hAnsi="Arial" w:cs="Arial"/>
                <w:color w:val="FFFFFF"/>
                <w:sz w:val="18"/>
                <w:szCs w:val="18"/>
              </w:rPr>
            </w:pPr>
            <w:r w:rsidRPr="00E172EE">
              <w:rPr>
                <w:rFonts w:ascii="Arial" w:hAnsi="Arial" w:cs="Arial"/>
                <w:color w:val="FFFFFF"/>
                <w:sz w:val="18"/>
                <w:szCs w:val="18"/>
              </w:rPr>
              <w:t>Muži</w:t>
            </w:r>
          </w:p>
        </w:tc>
        <w:tc>
          <w:tcPr>
            <w:tcW w:w="348" w:type="pct"/>
            <w:tcBorders>
              <w:top w:val="nil"/>
              <w:left w:val="nil"/>
              <w:bottom w:val="single" w:sz="8" w:space="0" w:color="auto"/>
              <w:right w:val="single" w:sz="8" w:space="0" w:color="auto"/>
            </w:tcBorders>
            <w:shd w:val="clear" w:color="CCCCFF" w:fill="538ED5"/>
            <w:textDirection w:val="btLr"/>
            <w:vAlign w:val="center"/>
            <w:hideMark/>
          </w:tcPr>
          <w:p w:rsidR="0033506E" w:rsidRPr="00E172EE" w:rsidRDefault="0033506E" w:rsidP="001C5907">
            <w:pPr>
              <w:spacing w:after="0"/>
              <w:ind w:left="113" w:right="113"/>
              <w:rPr>
                <w:rFonts w:ascii="Arial" w:hAnsi="Arial" w:cs="Arial"/>
                <w:color w:val="FFFFFF"/>
                <w:sz w:val="18"/>
                <w:szCs w:val="18"/>
              </w:rPr>
            </w:pPr>
            <w:r w:rsidRPr="00E172EE">
              <w:rPr>
                <w:rFonts w:ascii="Arial" w:hAnsi="Arial" w:cs="Arial"/>
                <w:color w:val="FFFFFF"/>
                <w:sz w:val="18"/>
                <w:szCs w:val="18"/>
              </w:rPr>
              <w:t>Ženy</w:t>
            </w:r>
          </w:p>
        </w:tc>
        <w:tc>
          <w:tcPr>
            <w:tcW w:w="239"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rPr>
                <w:rFonts w:ascii="Arial" w:hAnsi="Arial" w:cs="Arial"/>
                <w:color w:val="FFFFFF"/>
                <w:sz w:val="18"/>
                <w:szCs w:val="18"/>
              </w:rPr>
            </w:pPr>
            <w:r w:rsidRPr="00E172EE">
              <w:rPr>
                <w:rFonts w:ascii="Arial" w:hAnsi="Arial" w:cs="Arial"/>
                <w:color w:val="FFFFFF"/>
                <w:sz w:val="18"/>
                <w:szCs w:val="18"/>
              </w:rPr>
              <w:t>Bez vzdělání</w:t>
            </w:r>
          </w:p>
        </w:tc>
        <w:tc>
          <w:tcPr>
            <w:tcW w:w="423"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Základní vzdělání:  vč. Neukončeného</w:t>
            </w:r>
          </w:p>
        </w:tc>
        <w:tc>
          <w:tcPr>
            <w:tcW w:w="299"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Střední vzdělání vč. vyučení (bez maturity)</w:t>
            </w:r>
          </w:p>
        </w:tc>
        <w:tc>
          <w:tcPr>
            <w:tcW w:w="348"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 xml:space="preserve"> Úplné střední (s maturitou) </w:t>
            </w:r>
          </w:p>
        </w:tc>
        <w:tc>
          <w:tcPr>
            <w:tcW w:w="295"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 xml:space="preserve"> Nástavbové studium </w:t>
            </w:r>
          </w:p>
        </w:tc>
        <w:tc>
          <w:tcPr>
            <w:tcW w:w="239"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Vyšší odborné vzdělání</w:t>
            </w:r>
          </w:p>
        </w:tc>
        <w:tc>
          <w:tcPr>
            <w:tcW w:w="359"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 xml:space="preserve"> Vysokoškolské vzdělání</w:t>
            </w:r>
          </w:p>
        </w:tc>
        <w:tc>
          <w:tcPr>
            <w:tcW w:w="274"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Bakalářské vzdělání</w:t>
            </w:r>
          </w:p>
        </w:tc>
        <w:tc>
          <w:tcPr>
            <w:tcW w:w="301" w:type="pct"/>
            <w:tcBorders>
              <w:top w:val="nil"/>
              <w:left w:val="nil"/>
              <w:bottom w:val="single" w:sz="8" w:space="0" w:color="auto"/>
              <w:right w:val="single" w:sz="8" w:space="0" w:color="auto"/>
            </w:tcBorders>
            <w:shd w:val="clear" w:color="CCCCFF" w:fill="376091"/>
            <w:textDirection w:val="btLr"/>
            <w:vAlign w:val="center"/>
            <w:hideMark/>
          </w:tcPr>
          <w:p w:rsidR="0033506E" w:rsidRPr="00E172EE" w:rsidRDefault="0033506E" w:rsidP="001C5907">
            <w:pPr>
              <w:spacing w:after="0"/>
              <w:ind w:left="113" w:right="113"/>
              <w:jc w:val="center"/>
              <w:rPr>
                <w:rFonts w:ascii="Arial" w:hAnsi="Arial" w:cs="Arial"/>
                <w:color w:val="FFFFFF"/>
                <w:sz w:val="18"/>
                <w:szCs w:val="18"/>
              </w:rPr>
            </w:pPr>
            <w:r w:rsidRPr="00E172EE">
              <w:rPr>
                <w:rFonts w:ascii="Arial" w:hAnsi="Arial" w:cs="Arial"/>
                <w:color w:val="FFFFFF"/>
                <w:sz w:val="18"/>
                <w:szCs w:val="18"/>
              </w:rPr>
              <w:t xml:space="preserve"> Magisterské vzdělání</w:t>
            </w:r>
          </w:p>
        </w:tc>
      </w:tr>
      <w:tr w:rsidR="0033506E" w:rsidRPr="00E172EE" w:rsidTr="001C5907">
        <w:trPr>
          <w:trHeight w:val="300"/>
        </w:trPr>
        <w:tc>
          <w:tcPr>
            <w:tcW w:w="1178" w:type="pct"/>
            <w:tcBorders>
              <w:top w:val="single" w:sz="8" w:space="0" w:color="auto"/>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Benátky</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350</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158</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192</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100</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84</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Bohuňovice</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113</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53</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60</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21</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Bor u Skutče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148</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73</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57</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Bučina</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208</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102</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106</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Budislav</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449</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233</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216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94</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146</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83</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38</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Cerekvice nad Loučnou</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819</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408</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411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113</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285</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190</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47</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38</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České Heřmanice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533</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259</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274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61</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192</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122</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Čistá</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912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454</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458</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176</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314</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169</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21</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Desná</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320</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165</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59</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107</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74</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Dolní Újezd</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1952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967</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985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331</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612</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456</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143</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109</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Hluboká</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194</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98</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92</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21</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Horky</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108</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29</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Horní Újezd</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431</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222</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97</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133</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Hrušová</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164</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158</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123</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82</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lastRenderedPageBreak/>
              <w:t>Chmelík</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173</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89</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35</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70</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Chotěnov</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65</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31</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Chotovice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133</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63</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70</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27</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49</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Janov</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957</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455</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502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188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308</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174</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38</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Jarošov</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196</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101</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63</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Javorník</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247</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128</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119</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83</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59</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Leština</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267</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132</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60</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100</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42</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Libecina</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171</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89</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31</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74</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Litomyšl</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10154</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4861</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5293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1460</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2583</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2538</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330</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176</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1231</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186</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1025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Lubná</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1007</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513</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494</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201</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343</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191</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55</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Makov</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321</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155</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96</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Morašice</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663</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336</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156</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46</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Němčice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935</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487</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448</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124</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340</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185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27</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44</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Nová Sídla</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230</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108</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53</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Nová Ves u Jarošova</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61</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Nové Hrady</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284</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152</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112</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52</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Osík</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1011</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518</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493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171</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321</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237</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70</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58</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Otradov</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149</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42</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126</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48</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Perálec</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234</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125</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106</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Poříčí u Litomyšle</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456</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251</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93</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Proseč</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2083</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1037</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1046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416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743</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379</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31</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96</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Příluka</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179</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86</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52</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53</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Pustina</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72</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37</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Řídký</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75</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39</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36</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Sebranice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950</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480</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470</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166</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268</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208</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18</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Sedliště</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234</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120</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114</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45</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Sloupnice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1707</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814</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893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265</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572</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337</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84</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69</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Strakov</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207</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102</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Suchá Lhota</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84</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29</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Tisová</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554</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269</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76</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200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118</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41</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Trstěnice</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509</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260</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249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90</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179</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93</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Tržek</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164</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83</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65</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Újezdec</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91</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48</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34</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Vidlatá Seč</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273</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141</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42</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100</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64</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Vlčkov</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98</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47</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19</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31</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25</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Vračovice-Orlov</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182</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100</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82</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28</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64</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46</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Vysoké Mýto</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12428</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6047</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6381</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46</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1657</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3564</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3063</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369</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179</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1093</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167</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906</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Zádolí</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91</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51</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40</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43</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14</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0</w:t>
            </w:r>
          </w:p>
        </w:tc>
      </w:tr>
      <w:tr w:rsidR="0033506E" w:rsidRPr="00E172EE" w:rsidTr="001C5907">
        <w:trPr>
          <w:trHeight w:val="300"/>
        </w:trPr>
        <w:tc>
          <w:tcPr>
            <w:tcW w:w="1178" w:type="pct"/>
            <w:tcBorders>
              <w:top w:val="nil"/>
              <w:left w:val="single" w:sz="8" w:space="0" w:color="auto"/>
              <w:bottom w:val="nil"/>
              <w:right w:val="single" w:sz="8" w:space="0" w:color="auto"/>
            </w:tcBorders>
            <w:shd w:val="clear" w:color="000000" w:fill="8DB4E3"/>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Zálší</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235</w:t>
            </w:r>
          </w:p>
        </w:tc>
        <w:tc>
          <w:tcPr>
            <w:tcW w:w="348" w:type="pct"/>
            <w:tcBorders>
              <w:top w:val="nil"/>
              <w:left w:val="nil"/>
              <w:bottom w:val="nil"/>
              <w:right w:val="nil"/>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120</w:t>
            </w:r>
          </w:p>
        </w:tc>
        <w:tc>
          <w:tcPr>
            <w:tcW w:w="348" w:type="pct"/>
            <w:tcBorders>
              <w:top w:val="nil"/>
              <w:left w:val="nil"/>
              <w:bottom w:val="nil"/>
              <w:right w:val="single" w:sz="8" w:space="0" w:color="auto"/>
            </w:tcBorders>
            <w:shd w:val="clear" w:color="9999FF"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115</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423"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33</w:t>
            </w:r>
          </w:p>
        </w:tc>
        <w:tc>
          <w:tcPr>
            <w:tcW w:w="29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87</w:t>
            </w:r>
          </w:p>
        </w:tc>
        <w:tc>
          <w:tcPr>
            <w:tcW w:w="348"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53</w:t>
            </w:r>
          </w:p>
        </w:tc>
        <w:tc>
          <w:tcPr>
            <w:tcW w:w="295"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3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59"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12</w:t>
            </w:r>
          </w:p>
        </w:tc>
        <w:tc>
          <w:tcPr>
            <w:tcW w:w="274" w:type="pct"/>
            <w:tcBorders>
              <w:top w:val="nil"/>
              <w:left w:val="nil"/>
              <w:bottom w:val="nil"/>
              <w:right w:val="nil"/>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3</w:t>
            </w:r>
          </w:p>
        </w:tc>
        <w:tc>
          <w:tcPr>
            <w:tcW w:w="301" w:type="pct"/>
            <w:tcBorders>
              <w:top w:val="nil"/>
              <w:left w:val="nil"/>
              <w:bottom w:val="nil"/>
              <w:right w:val="single" w:sz="8" w:space="0" w:color="auto"/>
            </w:tcBorders>
            <w:shd w:val="clear" w:color="000000" w:fill="8DB4E3"/>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r>
      <w:tr w:rsidR="0033506E" w:rsidRPr="00E172EE" w:rsidTr="001C5907">
        <w:trPr>
          <w:trHeight w:val="315"/>
        </w:trPr>
        <w:tc>
          <w:tcPr>
            <w:tcW w:w="1178" w:type="pct"/>
            <w:tcBorders>
              <w:top w:val="nil"/>
              <w:left w:val="single" w:sz="8" w:space="0" w:color="auto"/>
              <w:bottom w:val="nil"/>
              <w:right w:val="single" w:sz="8" w:space="0" w:color="auto"/>
            </w:tcBorders>
            <w:shd w:val="clear" w:color="000000" w:fill="DBE5F1"/>
            <w:noWrap/>
            <w:hideMark/>
          </w:tcPr>
          <w:p w:rsidR="0033506E" w:rsidRPr="00E172EE" w:rsidRDefault="0033506E" w:rsidP="001C5907">
            <w:pPr>
              <w:spacing w:after="0"/>
              <w:rPr>
                <w:rFonts w:ascii="Arial" w:hAnsi="Arial" w:cs="Arial"/>
                <w:b/>
                <w:bCs/>
                <w:sz w:val="18"/>
                <w:szCs w:val="18"/>
              </w:rPr>
            </w:pPr>
            <w:r w:rsidRPr="00E172EE">
              <w:rPr>
                <w:rFonts w:ascii="Arial" w:hAnsi="Arial" w:cs="Arial"/>
                <w:b/>
                <w:bCs/>
                <w:sz w:val="18"/>
                <w:szCs w:val="18"/>
              </w:rPr>
              <w:t>Zderaz</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276</w:t>
            </w:r>
          </w:p>
        </w:tc>
        <w:tc>
          <w:tcPr>
            <w:tcW w:w="348" w:type="pct"/>
            <w:tcBorders>
              <w:top w:val="nil"/>
              <w:left w:val="nil"/>
              <w:bottom w:val="nil"/>
              <w:right w:val="nil"/>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137</w:t>
            </w:r>
          </w:p>
        </w:tc>
        <w:tc>
          <w:tcPr>
            <w:tcW w:w="348" w:type="pct"/>
            <w:tcBorders>
              <w:top w:val="nil"/>
              <w:left w:val="nil"/>
              <w:bottom w:val="nil"/>
              <w:right w:val="single" w:sz="8" w:space="0" w:color="auto"/>
            </w:tcBorders>
            <w:shd w:val="clear" w:color="9999FF"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139</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423"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50</w:t>
            </w:r>
          </w:p>
        </w:tc>
        <w:tc>
          <w:tcPr>
            <w:tcW w:w="29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111</w:t>
            </w:r>
          </w:p>
        </w:tc>
        <w:tc>
          <w:tcPr>
            <w:tcW w:w="348"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44</w:t>
            </w:r>
          </w:p>
        </w:tc>
        <w:tc>
          <w:tcPr>
            <w:tcW w:w="295"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4</w:t>
            </w:r>
          </w:p>
        </w:tc>
        <w:tc>
          <w:tcPr>
            <w:tcW w:w="23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5</w:t>
            </w:r>
          </w:p>
        </w:tc>
        <w:tc>
          <w:tcPr>
            <w:tcW w:w="359"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9</w:t>
            </w:r>
          </w:p>
        </w:tc>
        <w:tc>
          <w:tcPr>
            <w:tcW w:w="274" w:type="pct"/>
            <w:tcBorders>
              <w:top w:val="nil"/>
              <w:left w:val="nil"/>
              <w:bottom w:val="nil"/>
              <w:right w:val="nil"/>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2</w:t>
            </w:r>
          </w:p>
        </w:tc>
        <w:tc>
          <w:tcPr>
            <w:tcW w:w="301" w:type="pct"/>
            <w:tcBorders>
              <w:top w:val="nil"/>
              <w:left w:val="nil"/>
              <w:bottom w:val="nil"/>
              <w:right w:val="single" w:sz="8" w:space="0" w:color="auto"/>
            </w:tcBorders>
            <w:shd w:val="clear" w:color="000000" w:fill="DBE5F1"/>
            <w:noWrap/>
            <w:vAlign w:val="bottom"/>
            <w:hideMark/>
          </w:tcPr>
          <w:p w:rsidR="0033506E" w:rsidRPr="00E172EE" w:rsidRDefault="0033506E" w:rsidP="001C5907">
            <w:pPr>
              <w:spacing w:after="0"/>
              <w:jc w:val="right"/>
              <w:rPr>
                <w:rFonts w:ascii="Arial" w:hAnsi="Arial" w:cs="Arial"/>
                <w:color w:val="000000"/>
                <w:sz w:val="18"/>
                <w:szCs w:val="18"/>
              </w:rPr>
            </w:pPr>
            <w:r w:rsidRPr="00E172EE">
              <w:rPr>
                <w:rFonts w:ascii="Arial" w:hAnsi="Arial" w:cs="Arial"/>
                <w:color w:val="000000"/>
                <w:sz w:val="18"/>
                <w:szCs w:val="18"/>
              </w:rPr>
              <w:t>7</w:t>
            </w:r>
          </w:p>
        </w:tc>
      </w:tr>
      <w:tr w:rsidR="0033506E" w:rsidRPr="00E172EE" w:rsidTr="001C5907">
        <w:trPr>
          <w:trHeight w:val="315"/>
        </w:trPr>
        <w:tc>
          <w:tcPr>
            <w:tcW w:w="1178" w:type="pct"/>
            <w:tcBorders>
              <w:top w:val="single" w:sz="8" w:space="0" w:color="auto"/>
              <w:left w:val="single" w:sz="8" w:space="0" w:color="auto"/>
              <w:bottom w:val="single" w:sz="8" w:space="0" w:color="auto"/>
              <w:right w:val="single" w:sz="8" w:space="0" w:color="auto"/>
            </w:tcBorders>
            <w:shd w:val="clear" w:color="000000" w:fill="17375D"/>
            <w:noWrap/>
            <w:vAlign w:val="bottom"/>
            <w:hideMark/>
          </w:tcPr>
          <w:p w:rsidR="0033506E" w:rsidRPr="00E172EE" w:rsidRDefault="0033506E" w:rsidP="001C5907">
            <w:pPr>
              <w:spacing w:after="0"/>
              <w:rPr>
                <w:rFonts w:ascii="Arial" w:hAnsi="Arial" w:cs="Arial"/>
                <w:b/>
                <w:bCs/>
                <w:color w:val="FFFFFF"/>
                <w:sz w:val="18"/>
                <w:szCs w:val="18"/>
              </w:rPr>
            </w:pPr>
            <w:r w:rsidRPr="00E172EE">
              <w:rPr>
                <w:rFonts w:ascii="Arial" w:hAnsi="Arial" w:cs="Arial"/>
                <w:b/>
                <w:bCs/>
                <w:color w:val="FFFFFF"/>
                <w:sz w:val="18"/>
                <w:szCs w:val="18"/>
              </w:rPr>
              <w:t>Celkem</w:t>
            </w:r>
          </w:p>
        </w:tc>
        <w:tc>
          <w:tcPr>
            <w:tcW w:w="348"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45265</w:t>
            </w:r>
          </w:p>
        </w:tc>
        <w:tc>
          <w:tcPr>
            <w:tcW w:w="348"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22279</w:t>
            </w:r>
          </w:p>
        </w:tc>
        <w:tc>
          <w:tcPr>
            <w:tcW w:w="348" w:type="pct"/>
            <w:tcBorders>
              <w:top w:val="single" w:sz="8" w:space="0" w:color="auto"/>
              <w:left w:val="nil"/>
              <w:bottom w:val="single" w:sz="8" w:space="0" w:color="auto"/>
              <w:right w:val="single" w:sz="8" w:space="0" w:color="auto"/>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22986</w:t>
            </w:r>
          </w:p>
        </w:tc>
        <w:tc>
          <w:tcPr>
            <w:tcW w:w="239"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114</w:t>
            </w:r>
          </w:p>
        </w:tc>
        <w:tc>
          <w:tcPr>
            <w:tcW w:w="423"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7048</w:t>
            </w:r>
          </w:p>
        </w:tc>
        <w:tc>
          <w:tcPr>
            <w:tcW w:w="299"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13973</w:t>
            </w:r>
          </w:p>
        </w:tc>
        <w:tc>
          <w:tcPr>
            <w:tcW w:w="348"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10219</w:t>
            </w:r>
          </w:p>
        </w:tc>
        <w:tc>
          <w:tcPr>
            <w:tcW w:w="295"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1150</w:t>
            </w:r>
          </w:p>
        </w:tc>
        <w:tc>
          <w:tcPr>
            <w:tcW w:w="239"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647</w:t>
            </w:r>
          </w:p>
        </w:tc>
        <w:tc>
          <w:tcPr>
            <w:tcW w:w="359"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3579</w:t>
            </w:r>
          </w:p>
        </w:tc>
        <w:tc>
          <w:tcPr>
            <w:tcW w:w="274" w:type="pct"/>
            <w:tcBorders>
              <w:top w:val="single" w:sz="8" w:space="0" w:color="auto"/>
              <w:left w:val="nil"/>
              <w:bottom w:val="single" w:sz="8" w:space="0" w:color="auto"/>
              <w:right w:val="nil"/>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608</w:t>
            </w:r>
          </w:p>
        </w:tc>
        <w:tc>
          <w:tcPr>
            <w:tcW w:w="301" w:type="pct"/>
            <w:tcBorders>
              <w:top w:val="single" w:sz="8" w:space="0" w:color="auto"/>
              <w:left w:val="nil"/>
              <w:bottom w:val="single" w:sz="8" w:space="0" w:color="auto"/>
              <w:right w:val="single" w:sz="8" w:space="0" w:color="auto"/>
            </w:tcBorders>
            <w:shd w:val="clear" w:color="000000" w:fill="17375D"/>
            <w:noWrap/>
            <w:vAlign w:val="bottom"/>
            <w:hideMark/>
          </w:tcPr>
          <w:p w:rsidR="0033506E" w:rsidRPr="00E172EE" w:rsidRDefault="0033506E" w:rsidP="001C5907">
            <w:pPr>
              <w:spacing w:after="0"/>
              <w:jc w:val="right"/>
              <w:rPr>
                <w:rFonts w:ascii="Arial" w:hAnsi="Arial" w:cs="Arial"/>
                <w:b/>
                <w:color w:val="FFFFFF"/>
                <w:sz w:val="18"/>
                <w:szCs w:val="18"/>
              </w:rPr>
            </w:pPr>
            <w:r w:rsidRPr="00E172EE">
              <w:rPr>
                <w:rFonts w:ascii="Arial" w:hAnsi="Arial" w:cs="Arial"/>
                <w:b/>
                <w:color w:val="FFFFFF"/>
                <w:sz w:val="18"/>
                <w:szCs w:val="18"/>
              </w:rPr>
              <w:t>2910</w:t>
            </w:r>
          </w:p>
        </w:tc>
      </w:tr>
    </w:tbl>
    <w:p w:rsidR="0033506E" w:rsidRDefault="0033506E" w:rsidP="0033506E">
      <w:r>
        <w:t>Tab.: Vzdělanostní struktura podle jednotlivých obcí</w:t>
      </w:r>
    </w:p>
    <w:p w:rsidR="0033506E" w:rsidRDefault="0033506E" w:rsidP="0033506E">
      <w:r>
        <w:lastRenderedPageBreak/>
        <w:t>V porovnání s celostátním průměrem z roku 2011 je oblast Litomyšlska v úrovni nejvyššího do</w:t>
      </w:r>
      <w:r w:rsidR="0012051C">
        <w:t xml:space="preserve">saženého vzdělání podprůměrná. </w:t>
      </w:r>
      <w:r>
        <w:t>Procentuálně vychází vyšší úroveň vzdělanosti u obcí s nejvyšším počtem obyvatel</w:t>
      </w:r>
      <w:r w:rsidR="0012051C">
        <w:t>.</w:t>
      </w:r>
      <w:r>
        <w:t xml:space="preserve"> Úplné porovnání různých velikostí obcí a úrovně vzdělanosti poskytuje tabulka.</w:t>
      </w:r>
    </w:p>
    <w:tbl>
      <w:tblPr>
        <w:tblW w:w="5000" w:type="pct"/>
        <w:tblCellMar>
          <w:left w:w="70" w:type="dxa"/>
          <w:right w:w="70" w:type="dxa"/>
        </w:tblCellMar>
        <w:tblLook w:val="04A0"/>
      </w:tblPr>
      <w:tblGrid>
        <w:gridCol w:w="1159"/>
        <w:gridCol w:w="705"/>
        <w:gridCol w:w="1159"/>
        <w:gridCol w:w="730"/>
        <w:gridCol w:w="823"/>
        <w:gridCol w:w="941"/>
        <w:gridCol w:w="705"/>
        <w:gridCol w:w="1143"/>
        <w:gridCol w:w="890"/>
        <w:gridCol w:w="957"/>
      </w:tblGrid>
      <w:tr w:rsidR="0033506E" w:rsidRPr="00701E6F" w:rsidTr="001C5907">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000000" w:fill="17375D"/>
            <w:noWrap/>
            <w:vAlign w:val="bottom"/>
            <w:hideMark/>
          </w:tcPr>
          <w:p w:rsidR="0033506E" w:rsidRPr="00701E6F" w:rsidRDefault="0033506E" w:rsidP="001C5907">
            <w:pPr>
              <w:spacing w:after="0"/>
              <w:jc w:val="center"/>
              <w:rPr>
                <w:rFonts w:ascii="Arial" w:hAnsi="Arial" w:cs="Arial"/>
                <w:b/>
                <w:bCs/>
                <w:color w:val="FFFFFF"/>
                <w:sz w:val="18"/>
                <w:szCs w:val="18"/>
              </w:rPr>
            </w:pPr>
            <w:r w:rsidRPr="00701E6F">
              <w:rPr>
                <w:rFonts w:ascii="Arial" w:hAnsi="Arial" w:cs="Arial"/>
                <w:b/>
                <w:bCs/>
                <w:color w:val="FFFFFF"/>
                <w:sz w:val="18"/>
                <w:szCs w:val="18"/>
              </w:rPr>
              <w:t>Obyvatelstvo MAS Litomyšlsko- vzdělanost vyjádřená v %, dělení podle počtu obyvatel</w:t>
            </w:r>
          </w:p>
        </w:tc>
      </w:tr>
      <w:tr w:rsidR="0033506E" w:rsidRPr="00701E6F" w:rsidTr="001C5907">
        <w:trPr>
          <w:trHeight w:val="1455"/>
        </w:trPr>
        <w:tc>
          <w:tcPr>
            <w:tcW w:w="655" w:type="pct"/>
            <w:tcBorders>
              <w:top w:val="nil"/>
              <w:left w:val="single" w:sz="8" w:space="0" w:color="auto"/>
              <w:bottom w:val="nil"/>
              <w:right w:val="nil"/>
            </w:tcBorders>
            <w:shd w:val="clear" w:color="000000" w:fill="376091"/>
            <w:vAlign w:val="center"/>
            <w:hideMark/>
          </w:tcPr>
          <w:p w:rsidR="0033506E" w:rsidRPr="00701E6F" w:rsidRDefault="0033506E" w:rsidP="001C5907">
            <w:pPr>
              <w:spacing w:after="0"/>
              <w:rPr>
                <w:rFonts w:ascii="Arial" w:hAnsi="Arial" w:cs="Arial"/>
                <w:color w:val="FFFFFF"/>
                <w:sz w:val="18"/>
                <w:szCs w:val="18"/>
              </w:rPr>
            </w:pPr>
            <w:r w:rsidRPr="00701E6F">
              <w:rPr>
                <w:rFonts w:ascii="Arial" w:hAnsi="Arial" w:cs="Arial"/>
                <w:color w:val="FFFFFF"/>
                <w:sz w:val="18"/>
                <w:szCs w:val="18"/>
              </w:rPr>
              <w:t>Obce podle počtu obyvatel</w:t>
            </w:r>
          </w:p>
        </w:tc>
        <w:tc>
          <w:tcPr>
            <w:tcW w:w="378" w:type="pct"/>
            <w:tcBorders>
              <w:top w:val="nil"/>
              <w:left w:val="single" w:sz="8" w:space="0" w:color="auto"/>
              <w:bottom w:val="single" w:sz="8" w:space="0" w:color="auto"/>
              <w:right w:val="single" w:sz="8" w:space="0" w:color="auto"/>
            </w:tcBorders>
            <w:shd w:val="clear" w:color="CCCCFF" w:fill="376091"/>
            <w:vAlign w:val="center"/>
            <w:hideMark/>
          </w:tcPr>
          <w:p w:rsidR="0033506E" w:rsidRPr="00701E6F" w:rsidRDefault="0033506E" w:rsidP="001C5907">
            <w:pPr>
              <w:spacing w:after="0"/>
              <w:rPr>
                <w:rFonts w:ascii="Arial" w:hAnsi="Arial" w:cs="Arial"/>
                <w:color w:val="FFFFFF"/>
                <w:sz w:val="18"/>
                <w:szCs w:val="18"/>
              </w:rPr>
            </w:pPr>
            <w:r w:rsidRPr="00701E6F">
              <w:rPr>
                <w:rFonts w:ascii="Arial" w:hAnsi="Arial" w:cs="Arial"/>
                <w:color w:val="FFFFFF"/>
                <w:sz w:val="18"/>
                <w:szCs w:val="18"/>
              </w:rPr>
              <w:t>Bez vzdělání</w:t>
            </w:r>
          </w:p>
        </w:tc>
        <w:tc>
          <w:tcPr>
            <w:tcW w:w="629"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Základní vzdělání:  vč. Neukončeného</w:t>
            </w:r>
          </w:p>
        </w:tc>
        <w:tc>
          <w:tcPr>
            <w:tcW w:w="392"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Střední vzdělání vč. vyučení (bez maturity)</w:t>
            </w:r>
          </w:p>
        </w:tc>
        <w:tc>
          <w:tcPr>
            <w:tcW w:w="443"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 xml:space="preserve"> Úplné střední (s maturitou) </w:t>
            </w:r>
          </w:p>
        </w:tc>
        <w:tc>
          <w:tcPr>
            <w:tcW w:w="508"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 xml:space="preserve"> Nástavbové studium </w:t>
            </w:r>
          </w:p>
        </w:tc>
        <w:tc>
          <w:tcPr>
            <w:tcW w:w="378"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Vyšší odborné vzdělání</w:t>
            </w:r>
          </w:p>
        </w:tc>
        <w:tc>
          <w:tcPr>
            <w:tcW w:w="620"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 xml:space="preserve"> Vysokoškolské vzdělání</w:t>
            </w:r>
          </w:p>
        </w:tc>
        <w:tc>
          <w:tcPr>
            <w:tcW w:w="480"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Bakalářské vzdělání</w:t>
            </w:r>
          </w:p>
        </w:tc>
        <w:tc>
          <w:tcPr>
            <w:tcW w:w="517" w:type="pct"/>
            <w:tcBorders>
              <w:top w:val="nil"/>
              <w:left w:val="nil"/>
              <w:bottom w:val="single" w:sz="8" w:space="0" w:color="auto"/>
              <w:right w:val="single" w:sz="8" w:space="0" w:color="auto"/>
            </w:tcBorders>
            <w:shd w:val="clear" w:color="CCCCFF" w:fill="376091"/>
            <w:vAlign w:val="center"/>
            <w:hideMark/>
          </w:tcPr>
          <w:p w:rsidR="0033506E" w:rsidRPr="00701E6F" w:rsidRDefault="0033506E" w:rsidP="001C5907">
            <w:pPr>
              <w:spacing w:after="0"/>
              <w:jc w:val="center"/>
              <w:rPr>
                <w:rFonts w:ascii="Arial" w:hAnsi="Arial" w:cs="Arial"/>
                <w:color w:val="FFFFFF"/>
                <w:sz w:val="18"/>
                <w:szCs w:val="18"/>
              </w:rPr>
            </w:pPr>
            <w:r w:rsidRPr="00701E6F">
              <w:rPr>
                <w:rFonts w:ascii="Arial" w:hAnsi="Arial" w:cs="Arial"/>
                <w:color w:val="FFFFFF"/>
                <w:sz w:val="18"/>
                <w:szCs w:val="18"/>
              </w:rPr>
              <w:t xml:space="preserve"> Magisterské vzdělání</w:t>
            </w:r>
          </w:p>
        </w:tc>
      </w:tr>
      <w:tr w:rsidR="0033506E" w:rsidRPr="00701E6F" w:rsidTr="001C5907">
        <w:trPr>
          <w:trHeight w:val="300"/>
        </w:trPr>
        <w:tc>
          <w:tcPr>
            <w:tcW w:w="655" w:type="pct"/>
            <w:tcBorders>
              <w:top w:val="single" w:sz="8" w:space="0" w:color="auto"/>
              <w:left w:val="single" w:sz="8" w:space="0" w:color="auto"/>
              <w:bottom w:val="nil"/>
              <w:right w:val="single" w:sz="8" w:space="0" w:color="auto"/>
            </w:tcBorders>
            <w:shd w:val="clear" w:color="000000" w:fill="8DB4E3"/>
            <w:noWrap/>
            <w:vAlign w:val="bottom"/>
            <w:hideMark/>
          </w:tcPr>
          <w:p w:rsidR="0033506E" w:rsidRPr="00701E6F" w:rsidRDefault="0033506E" w:rsidP="001C5907">
            <w:pPr>
              <w:spacing w:after="0"/>
              <w:rPr>
                <w:rFonts w:ascii="Arial" w:hAnsi="Arial" w:cs="Arial"/>
                <w:color w:val="000000"/>
                <w:sz w:val="18"/>
                <w:szCs w:val="18"/>
              </w:rPr>
            </w:pPr>
            <w:r w:rsidRPr="00701E6F">
              <w:rPr>
                <w:rFonts w:ascii="Arial" w:hAnsi="Arial" w:cs="Arial"/>
                <w:color w:val="000000"/>
                <w:sz w:val="18"/>
                <w:szCs w:val="18"/>
              </w:rPr>
              <w:t xml:space="preserve">1-200 </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0,19</w:t>
            </w:r>
          </w:p>
        </w:tc>
        <w:tc>
          <w:tcPr>
            <w:tcW w:w="629"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21,65</w:t>
            </w:r>
          </w:p>
        </w:tc>
        <w:tc>
          <w:tcPr>
            <w:tcW w:w="392"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41,71</w:t>
            </w:r>
          </w:p>
        </w:tc>
        <w:tc>
          <w:tcPr>
            <w:tcW w:w="443"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22,58</w:t>
            </w:r>
          </w:p>
        </w:tc>
        <w:tc>
          <w:tcPr>
            <w:tcW w:w="50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2,33</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1,12</w:t>
            </w:r>
          </w:p>
        </w:tc>
        <w:tc>
          <w:tcPr>
            <w:tcW w:w="62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5,35</w:t>
            </w:r>
          </w:p>
        </w:tc>
        <w:tc>
          <w:tcPr>
            <w:tcW w:w="48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1,26</w:t>
            </w:r>
          </w:p>
        </w:tc>
        <w:tc>
          <w:tcPr>
            <w:tcW w:w="517" w:type="pct"/>
            <w:tcBorders>
              <w:top w:val="nil"/>
              <w:left w:val="nil"/>
              <w:bottom w:val="nil"/>
              <w:right w:val="single" w:sz="8" w:space="0" w:color="auto"/>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3,82</w:t>
            </w:r>
          </w:p>
        </w:tc>
      </w:tr>
      <w:tr w:rsidR="0033506E" w:rsidRPr="00701E6F" w:rsidTr="001C5907">
        <w:trPr>
          <w:trHeight w:val="300"/>
        </w:trPr>
        <w:tc>
          <w:tcPr>
            <w:tcW w:w="655" w:type="pct"/>
            <w:tcBorders>
              <w:top w:val="nil"/>
              <w:left w:val="single" w:sz="8" w:space="0" w:color="auto"/>
              <w:bottom w:val="nil"/>
              <w:right w:val="single" w:sz="8" w:space="0" w:color="auto"/>
            </w:tcBorders>
            <w:shd w:val="clear" w:color="000000" w:fill="DBE5F1"/>
            <w:noWrap/>
            <w:vAlign w:val="bottom"/>
            <w:hideMark/>
          </w:tcPr>
          <w:p w:rsidR="0033506E" w:rsidRPr="00701E6F" w:rsidRDefault="0033506E" w:rsidP="001C5907">
            <w:pPr>
              <w:spacing w:after="0"/>
              <w:rPr>
                <w:rFonts w:ascii="Arial" w:hAnsi="Arial" w:cs="Arial"/>
                <w:color w:val="000000"/>
                <w:sz w:val="18"/>
                <w:szCs w:val="18"/>
              </w:rPr>
            </w:pPr>
            <w:r w:rsidRPr="00701E6F">
              <w:rPr>
                <w:rFonts w:ascii="Arial" w:hAnsi="Arial" w:cs="Arial"/>
                <w:color w:val="000000"/>
                <w:sz w:val="18"/>
                <w:szCs w:val="18"/>
              </w:rPr>
              <w:t>201-500</w:t>
            </w:r>
          </w:p>
        </w:tc>
        <w:tc>
          <w:tcPr>
            <w:tcW w:w="37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0,37</w:t>
            </w:r>
          </w:p>
        </w:tc>
        <w:tc>
          <w:tcPr>
            <w:tcW w:w="629"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20,08</w:t>
            </w:r>
          </w:p>
        </w:tc>
        <w:tc>
          <w:tcPr>
            <w:tcW w:w="392"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40,82</w:t>
            </w:r>
          </w:p>
        </w:tc>
        <w:tc>
          <w:tcPr>
            <w:tcW w:w="443"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22,67</w:t>
            </w:r>
          </w:p>
        </w:tc>
        <w:tc>
          <w:tcPr>
            <w:tcW w:w="50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2,03</w:t>
            </w:r>
          </w:p>
        </w:tc>
        <w:tc>
          <w:tcPr>
            <w:tcW w:w="37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1,52</w:t>
            </w:r>
          </w:p>
        </w:tc>
        <w:tc>
          <w:tcPr>
            <w:tcW w:w="620"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6,29</w:t>
            </w:r>
          </w:p>
        </w:tc>
        <w:tc>
          <w:tcPr>
            <w:tcW w:w="480"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1,46</w:t>
            </w:r>
          </w:p>
        </w:tc>
        <w:tc>
          <w:tcPr>
            <w:tcW w:w="517" w:type="pct"/>
            <w:tcBorders>
              <w:top w:val="nil"/>
              <w:left w:val="nil"/>
              <w:bottom w:val="nil"/>
              <w:right w:val="single" w:sz="8" w:space="0" w:color="auto"/>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4,77</w:t>
            </w:r>
          </w:p>
        </w:tc>
      </w:tr>
      <w:tr w:rsidR="0033506E" w:rsidRPr="00701E6F" w:rsidTr="001C5907">
        <w:trPr>
          <w:trHeight w:val="300"/>
        </w:trPr>
        <w:tc>
          <w:tcPr>
            <w:tcW w:w="655" w:type="pct"/>
            <w:tcBorders>
              <w:top w:val="nil"/>
              <w:left w:val="single" w:sz="8" w:space="0" w:color="auto"/>
              <w:bottom w:val="nil"/>
              <w:right w:val="single" w:sz="8" w:space="0" w:color="auto"/>
            </w:tcBorders>
            <w:shd w:val="clear" w:color="000000" w:fill="8DB4E3"/>
            <w:noWrap/>
            <w:vAlign w:val="bottom"/>
            <w:hideMark/>
          </w:tcPr>
          <w:p w:rsidR="0033506E" w:rsidRPr="00701E6F" w:rsidRDefault="0033506E" w:rsidP="001C5907">
            <w:pPr>
              <w:spacing w:after="0"/>
              <w:rPr>
                <w:rFonts w:ascii="Arial" w:hAnsi="Arial" w:cs="Arial"/>
                <w:color w:val="000000"/>
                <w:sz w:val="18"/>
                <w:szCs w:val="18"/>
              </w:rPr>
            </w:pPr>
            <w:r w:rsidRPr="00701E6F">
              <w:rPr>
                <w:rFonts w:ascii="Arial" w:hAnsi="Arial" w:cs="Arial"/>
                <w:color w:val="000000"/>
                <w:sz w:val="18"/>
                <w:szCs w:val="18"/>
              </w:rPr>
              <w:t>501-1000</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0,22</w:t>
            </w:r>
          </w:p>
        </w:tc>
        <w:tc>
          <w:tcPr>
            <w:tcW w:w="629"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18,67</w:t>
            </w:r>
          </w:p>
        </w:tc>
        <w:tc>
          <w:tcPr>
            <w:tcW w:w="392"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39,76</w:t>
            </w:r>
          </w:p>
        </w:tc>
        <w:tc>
          <w:tcPr>
            <w:tcW w:w="443"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24,19</w:t>
            </w:r>
          </w:p>
        </w:tc>
        <w:tc>
          <w:tcPr>
            <w:tcW w:w="50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2,50</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1,71</w:t>
            </w:r>
          </w:p>
        </w:tc>
        <w:tc>
          <w:tcPr>
            <w:tcW w:w="62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6,53</w:t>
            </w:r>
          </w:p>
        </w:tc>
        <w:tc>
          <w:tcPr>
            <w:tcW w:w="48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1,26</w:t>
            </w:r>
          </w:p>
        </w:tc>
        <w:tc>
          <w:tcPr>
            <w:tcW w:w="517" w:type="pct"/>
            <w:tcBorders>
              <w:top w:val="nil"/>
              <w:left w:val="nil"/>
              <w:bottom w:val="nil"/>
              <w:right w:val="single" w:sz="8" w:space="0" w:color="auto"/>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5,16</w:t>
            </w:r>
          </w:p>
        </w:tc>
      </w:tr>
      <w:tr w:rsidR="0033506E" w:rsidRPr="00701E6F" w:rsidTr="001C5907">
        <w:trPr>
          <w:trHeight w:val="300"/>
        </w:trPr>
        <w:tc>
          <w:tcPr>
            <w:tcW w:w="655" w:type="pct"/>
            <w:tcBorders>
              <w:top w:val="nil"/>
              <w:left w:val="single" w:sz="8" w:space="0" w:color="auto"/>
              <w:bottom w:val="nil"/>
              <w:right w:val="single" w:sz="8" w:space="0" w:color="auto"/>
            </w:tcBorders>
            <w:shd w:val="clear" w:color="000000" w:fill="DBE5F1"/>
            <w:noWrap/>
            <w:vAlign w:val="bottom"/>
            <w:hideMark/>
          </w:tcPr>
          <w:p w:rsidR="0033506E" w:rsidRPr="00701E6F" w:rsidRDefault="0033506E" w:rsidP="001C5907">
            <w:pPr>
              <w:spacing w:after="0"/>
              <w:rPr>
                <w:rFonts w:ascii="Arial" w:hAnsi="Arial" w:cs="Arial"/>
                <w:color w:val="000000"/>
                <w:sz w:val="18"/>
                <w:szCs w:val="18"/>
              </w:rPr>
            </w:pPr>
            <w:r w:rsidRPr="00701E6F">
              <w:rPr>
                <w:rFonts w:ascii="Arial" w:hAnsi="Arial" w:cs="Arial"/>
                <w:color w:val="000000"/>
                <w:sz w:val="18"/>
                <w:szCs w:val="18"/>
              </w:rPr>
              <w:t>1001-2000</w:t>
            </w:r>
          </w:p>
        </w:tc>
        <w:tc>
          <w:tcPr>
            <w:tcW w:w="37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0,14</w:t>
            </w:r>
          </w:p>
        </w:tc>
        <w:tc>
          <w:tcPr>
            <w:tcW w:w="629"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19,61</w:t>
            </w:r>
          </w:p>
        </w:tc>
        <w:tc>
          <w:tcPr>
            <w:tcW w:w="392"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37,44</w:t>
            </w:r>
          </w:p>
        </w:tc>
        <w:tc>
          <w:tcPr>
            <w:tcW w:w="443"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24,74</w:t>
            </w:r>
          </w:p>
        </w:tc>
        <w:tc>
          <w:tcPr>
            <w:tcW w:w="50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2,51</w:t>
            </w:r>
          </w:p>
        </w:tc>
        <w:tc>
          <w:tcPr>
            <w:tcW w:w="378"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1,38</w:t>
            </w:r>
          </w:p>
        </w:tc>
        <w:tc>
          <w:tcPr>
            <w:tcW w:w="620"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7,13</w:t>
            </w:r>
          </w:p>
        </w:tc>
        <w:tc>
          <w:tcPr>
            <w:tcW w:w="480" w:type="pct"/>
            <w:tcBorders>
              <w:top w:val="nil"/>
              <w:left w:val="nil"/>
              <w:bottom w:val="nil"/>
              <w:right w:val="nil"/>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1,40</w:t>
            </w:r>
          </w:p>
        </w:tc>
        <w:tc>
          <w:tcPr>
            <w:tcW w:w="517" w:type="pct"/>
            <w:tcBorders>
              <w:top w:val="nil"/>
              <w:left w:val="nil"/>
              <w:bottom w:val="nil"/>
              <w:right w:val="single" w:sz="8" w:space="0" w:color="auto"/>
            </w:tcBorders>
            <w:shd w:val="clear" w:color="000000" w:fill="DBE5F1"/>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5,65</w:t>
            </w:r>
          </w:p>
        </w:tc>
      </w:tr>
      <w:tr w:rsidR="0033506E" w:rsidRPr="00701E6F" w:rsidTr="001C5907">
        <w:trPr>
          <w:trHeight w:val="315"/>
        </w:trPr>
        <w:tc>
          <w:tcPr>
            <w:tcW w:w="655" w:type="pct"/>
            <w:tcBorders>
              <w:top w:val="nil"/>
              <w:left w:val="single" w:sz="8" w:space="0" w:color="auto"/>
              <w:bottom w:val="nil"/>
              <w:right w:val="single" w:sz="8" w:space="0" w:color="auto"/>
            </w:tcBorders>
            <w:shd w:val="clear" w:color="000000" w:fill="8DB4E3"/>
            <w:noWrap/>
            <w:vAlign w:val="bottom"/>
            <w:hideMark/>
          </w:tcPr>
          <w:p w:rsidR="0033506E" w:rsidRPr="00701E6F" w:rsidRDefault="0033506E" w:rsidP="001C5907">
            <w:pPr>
              <w:spacing w:after="0"/>
              <w:rPr>
                <w:rFonts w:ascii="Arial" w:hAnsi="Arial" w:cs="Arial"/>
                <w:color w:val="000000"/>
                <w:sz w:val="18"/>
                <w:szCs w:val="18"/>
              </w:rPr>
            </w:pPr>
            <w:r w:rsidRPr="00701E6F">
              <w:rPr>
                <w:rFonts w:ascii="Arial" w:hAnsi="Arial" w:cs="Arial"/>
                <w:color w:val="000000"/>
                <w:sz w:val="18"/>
                <w:szCs w:val="18"/>
              </w:rPr>
              <w:t>2001-13000</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0,30</w:t>
            </w:r>
          </w:p>
        </w:tc>
        <w:tc>
          <w:tcPr>
            <w:tcW w:w="629"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15,14</w:t>
            </w:r>
          </w:p>
        </w:tc>
        <w:tc>
          <w:tcPr>
            <w:tcW w:w="392"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color w:val="000000"/>
              </w:rPr>
            </w:pPr>
            <w:r w:rsidRPr="00701E6F">
              <w:rPr>
                <w:rFonts w:ascii="Calibri" w:hAnsi="Calibri"/>
                <w:color w:val="000000"/>
              </w:rPr>
              <w:t>29,86</w:t>
            </w:r>
          </w:p>
        </w:tc>
        <w:tc>
          <w:tcPr>
            <w:tcW w:w="443"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27,21</w:t>
            </w:r>
          </w:p>
        </w:tc>
        <w:tc>
          <w:tcPr>
            <w:tcW w:w="50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3,40</w:t>
            </w:r>
          </w:p>
        </w:tc>
        <w:tc>
          <w:tcPr>
            <w:tcW w:w="378"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1,72</w:t>
            </w:r>
          </w:p>
        </w:tc>
        <w:tc>
          <w:tcPr>
            <w:tcW w:w="62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11,29</w:t>
            </w:r>
          </w:p>
        </w:tc>
        <w:tc>
          <w:tcPr>
            <w:tcW w:w="480" w:type="pct"/>
            <w:tcBorders>
              <w:top w:val="nil"/>
              <w:left w:val="nil"/>
              <w:bottom w:val="nil"/>
              <w:right w:val="nil"/>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1,71</w:t>
            </w:r>
          </w:p>
        </w:tc>
        <w:tc>
          <w:tcPr>
            <w:tcW w:w="517" w:type="pct"/>
            <w:tcBorders>
              <w:top w:val="nil"/>
              <w:left w:val="nil"/>
              <w:bottom w:val="nil"/>
              <w:right w:val="single" w:sz="8" w:space="0" w:color="auto"/>
            </w:tcBorders>
            <w:shd w:val="clear" w:color="000000" w:fill="8DB4E3"/>
            <w:noWrap/>
            <w:vAlign w:val="bottom"/>
            <w:hideMark/>
          </w:tcPr>
          <w:p w:rsidR="0033506E" w:rsidRPr="00701E6F" w:rsidRDefault="0033506E" w:rsidP="001C5907">
            <w:pPr>
              <w:spacing w:after="0"/>
              <w:jc w:val="right"/>
              <w:rPr>
                <w:rFonts w:ascii="Calibri" w:hAnsi="Calibri"/>
                <w:b/>
                <w:bCs/>
                <w:color w:val="000000"/>
              </w:rPr>
            </w:pPr>
            <w:r w:rsidRPr="00701E6F">
              <w:rPr>
                <w:rFonts w:ascii="Calibri" w:hAnsi="Calibri"/>
                <w:b/>
                <w:bCs/>
                <w:color w:val="000000"/>
              </w:rPr>
              <w:t>9,38</w:t>
            </w:r>
          </w:p>
        </w:tc>
      </w:tr>
      <w:tr w:rsidR="0033506E" w:rsidRPr="00701E6F" w:rsidTr="001C5907">
        <w:trPr>
          <w:trHeight w:val="315"/>
        </w:trPr>
        <w:tc>
          <w:tcPr>
            <w:tcW w:w="655" w:type="pct"/>
            <w:tcBorders>
              <w:top w:val="single" w:sz="8" w:space="0" w:color="auto"/>
              <w:left w:val="single" w:sz="8" w:space="0" w:color="auto"/>
              <w:bottom w:val="single" w:sz="8" w:space="0" w:color="auto"/>
              <w:right w:val="single" w:sz="8" w:space="0" w:color="auto"/>
            </w:tcBorders>
            <w:shd w:val="clear" w:color="000000" w:fill="254061"/>
            <w:noWrap/>
            <w:vAlign w:val="bottom"/>
            <w:hideMark/>
          </w:tcPr>
          <w:p w:rsidR="0033506E" w:rsidRPr="00701E6F" w:rsidRDefault="0033506E" w:rsidP="001C5907">
            <w:pPr>
              <w:spacing w:after="0"/>
              <w:rPr>
                <w:rFonts w:ascii="Arial" w:hAnsi="Arial" w:cs="Arial"/>
                <w:color w:val="FFFFFF"/>
                <w:sz w:val="18"/>
                <w:szCs w:val="18"/>
              </w:rPr>
            </w:pPr>
            <w:r w:rsidRPr="00701E6F">
              <w:rPr>
                <w:rFonts w:ascii="Arial" w:hAnsi="Arial" w:cs="Arial"/>
                <w:color w:val="FFFFFF"/>
                <w:sz w:val="18"/>
                <w:szCs w:val="18"/>
              </w:rPr>
              <w:t>Průměr celkem</w:t>
            </w:r>
          </w:p>
        </w:tc>
        <w:tc>
          <w:tcPr>
            <w:tcW w:w="378"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0,24</w:t>
            </w:r>
          </w:p>
        </w:tc>
        <w:tc>
          <w:tcPr>
            <w:tcW w:w="629"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19,03</w:t>
            </w:r>
          </w:p>
        </w:tc>
        <w:tc>
          <w:tcPr>
            <w:tcW w:w="392"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37,92</w:t>
            </w:r>
          </w:p>
        </w:tc>
        <w:tc>
          <w:tcPr>
            <w:tcW w:w="443"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24,28</w:t>
            </w:r>
          </w:p>
        </w:tc>
        <w:tc>
          <w:tcPr>
            <w:tcW w:w="508"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2,55</w:t>
            </w:r>
          </w:p>
        </w:tc>
        <w:tc>
          <w:tcPr>
            <w:tcW w:w="378"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1,49</w:t>
            </w:r>
          </w:p>
        </w:tc>
        <w:tc>
          <w:tcPr>
            <w:tcW w:w="620"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7,32</w:t>
            </w:r>
          </w:p>
        </w:tc>
        <w:tc>
          <w:tcPr>
            <w:tcW w:w="480" w:type="pct"/>
            <w:tcBorders>
              <w:top w:val="single" w:sz="8" w:space="0" w:color="auto"/>
              <w:left w:val="nil"/>
              <w:bottom w:val="single" w:sz="8" w:space="0" w:color="auto"/>
              <w:right w:val="nil"/>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1,42</w:t>
            </w:r>
          </w:p>
        </w:tc>
        <w:tc>
          <w:tcPr>
            <w:tcW w:w="517" w:type="pct"/>
            <w:tcBorders>
              <w:top w:val="single" w:sz="8" w:space="0" w:color="auto"/>
              <w:left w:val="nil"/>
              <w:bottom w:val="single" w:sz="8" w:space="0" w:color="auto"/>
              <w:right w:val="single" w:sz="8" w:space="0" w:color="auto"/>
            </w:tcBorders>
            <w:shd w:val="clear" w:color="000000" w:fill="254061"/>
            <w:noWrap/>
            <w:vAlign w:val="bottom"/>
            <w:hideMark/>
          </w:tcPr>
          <w:p w:rsidR="0033506E" w:rsidRPr="00701E6F" w:rsidRDefault="0033506E" w:rsidP="001C5907">
            <w:pPr>
              <w:spacing w:after="0"/>
              <w:jc w:val="right"/>
              <w:rPr>
                <w:rFonts w:ascii="Calibri" w:hAnsi="Calibri"/>
                <w:color w:val="FFFFFF"/>
              </w:rPr>
            </w:pPr>
            <w:r w:rsidRPr="00701E6F">
              <w:rPr>
                <w:rFonts w:ascii="Calibri" w:hAnsi="Calibri"/>
                <w:color w:val="FFFFFF"/>
              </w:rPr>
              <w:t>5,76</w:t>
            </w:r>
          </w:p>
        </w:tc>
      </w:tr>
    </w:tbl>
    <w:p w:rsidR="0033506E" w:rsidRDefault="0033506E" w:rsidP="0033506E">
      <w:pPr>
        <w:rPr>
          <w:rFonts w:ascii="Calibri" w:eastAsia="Calibri" w:hAnsi="Calibri" w:cs="Calibri"/>
        </w:rPr>
      </w:pPr>
      <w:r>
        <w:rPr>
          <w:rFonts w:ascii="Calibri" w:eastAsia="Calibri" w:hAnsi="Calibri" w:cs="Calibri"/>
        </w:rPr>
        <w:t>Tab.:  Procentuální vzdělanost v obcích</w:t>
      </w:r>
    </w:p>
    <w:p w:rsidR="0050130D" w:rsidRDefault="0050130D" w:rsidP="0050130D">
      <w:pPr>
        <w:pStyle w:val="Nadpis4"/>
      </w:pPr>
      <w:r>
        <w:t>Shrnutí informací o obyvatelstvu</w:t>
      </w:r>
    </w:p>
    <w:p w:rsidR="0033506E" w:rsidRDefault="0033506E" w:rsidP="0033506E">
      <w:pPr>
        <w:rPr>
          <w:rFonts w:eastAsia="Calibri"/>
        </w:rPr>
      </w:pPr>
      <w:r w:rsidRPr="002856AE">
        <w:rPr>
          <w:rFonts w:eastAsia="Calibri"/>
        </w:rPr>
        <w:t>Z analýzy území vyplynul obdobný demografický vývoj jako u zbytku území ČR</w:t>
      </w:r>
      <w:r>
        <w:rPr>
          <w:rFonts w:eastAsia="Calibri"/>
        </w:rPr>
        <w:t>. Demografické stárnutí, úbytek narozených dětí jsou největšími činiteli ve změně struktury ob</w:t>
      </w:r>
      <w:r w:rsidR="0012051C">
        <w:rPr>
          <w:rFonts w:eastAsia="Calibri"/>
        </w:rPr>
        <w:t>yvatelstva.</w:t>
      </w:r>
      <w:r>
        <w:rPr>
          <w:rFonts w:eastAsia="Calibri"/>
        </w:rPr>
        <w:t xml:space="preserve"> Tento jev je v současnosti nevyhnutelným, nicméně je nutné na změnu str</w:t>
      </w:r>
      <w:r w:rsidR="0012051C">
        <w:rPr>
          <w:rFonts w:eastAsia="Calibri"/>
        </w:rPr>
        <w:t xml:space="preserve">uktury obyvatelstva reagovat a </w:t>
      </w:r>
      <w:r>
        <w:rPr>
          <w:rFonts w:eastAsia="Calibri"/>
        </w:rPr>
        <w:t>plánovat s ohledem na budoucí i současné potřeby obyvatel.</w:t>
      </w:r>
    </w:p>
    <w:p w:rsidR="0033506E" w:rsidRDefault="0033506E" w:rsidP="0033506E">
      <w:pPr>
        <w:rPr>
          <w:rFonts w:eastAsia="Calibri"/>
        </w:rPr>
      </w:pPr>
      <w:r>
        <w:rPr>
          <w:rFonts w:eastAsia="Calibri"/>
        </w:rPr>
        <w:t>Oblast se také podotýká s problémem migrace a zvýšeného počtu vystěhovalých obyvatel. Odchod obyvatel z regionu se týká především mladé schopné generace a je zapotřebí se s</w:t>
      </w:r>
      <w:r w:rsidR="0012051C">
        <w:rPr>
          <w:rFonts w:eastAsia="Calibri"/>
        </w:rPr>
        <w:t xml:space="preserve">nažit tomuto problému zamezit. </w:t>
      </w:r>
      <w:r>
        <w:rPr>
          <w:rFonts w:eastAsia="Calibri"/>
        </w:rPr>
        <w:t xml:space="preserve">Zkvalitnění občanské vybavenosti obcí a zvýšení možnosti pracovního uplatnění může naopak do regionu obyvatele přilákat. </w:t>
      </w:r>
    </w:p>
    <w:p w:rsidR="0033506E" w:rsidRPr="002856AE" w:rsidRDefault="0033506E" w:rsidP="0033506E">
      <w:pPr>
        <w:rPr>
          <w:rFonts w:eastAsia="Calibri"/>
        </w:rPr>
      </w:pPr>
      <w:r>
        <w:rPr>
          <w:rFonts w:eastAsia="Calibri"/>
        </w:rPr>
        <w:t>V regionu jsou výrazné rozdíly mezi jednotlivými obcemi, celkově pak strádají obce s menším počtem obyvatel, naproti tomu obce střední velikosti s 500</w:t>
      </w:r>
      <w:r w:rsidR="00F23E6B">
        <w:rPr>
          <w:rFonts w:eastAsia="Calibri"/>
        </w:rPr>
        <w:t xml:space="preserve"> </w:t>
      </w:r>
      <w:r>
        <w:rPr>
          <w:rFonts w:eastAsia="Calibri"/>
        </w:rPr>
        <w:t>-</w:t>
      </w:r>
      <w:r w:rsidR="00F23E6B">
        <w:rPr>
          <w:rFonts w:eastAsia="Calibri"/>
        </w:rPr>
        <w:t xml:space="preserve"> </w:t>
      </w:r>
      <w:r>
        <w:rPr>
          <w:rFonts w:eastAsia="Calibri"/>
        </w:rPr>
        <w:t>1000 obyvateli prosperují. To</w:t>
      </w:r>
      <w:r w:rsidR="0012051C">
        <w:rPr>
          <w:rFonts w:eastAsia="Calibri"/>
        </w:rPr>
        <w:t xml:space="preserve"> vyžaduje podporu malých obcí směřující ke</w:t>
      </w:r>
      <w:r>
        <w:rPr>
          <w:rFonts w:eastAsia="Calibri"/>
        </w:rPr>
        <w:t xml:space="preserve"> zlepšení současného stavu a udržení současného vývoje u ostatních obcí. </w:t>
      </w:r>
    </w:p>
    <w:tbl>
      <w:tblPr>
        <w:tblStyle w:val="Mkatabulky"/>
        <w:tblW w:w="0" w:type="auto"/>
        <w:tblLook w:val="04A0"/>
      </w:tblPr>
      <w:tblGrid>
        <w:gridCol w:w="4606"/>
        <w:gridCol w:w="4606"/>
      </w:tblGrid>
      <w:tr w:rsidR="0033506E" w:rsidTr="001C5907">
        <w:trPr>
          <w:cantSplit/>
        </w:trPr>
        <w:tc>
          <w:tcPr>
            <w:tcW w:w="4606" w:type="dxa"/>
            <w:shd w:val="clear" w:color="auto" w:fill="D6E3BC" w:themeFill="accent3" w:themeFillTint="66"/>
          </w:tcPr>
          <w:p w:rsidR="0033506E" w:rsidRPr="000F7E1C" w:rsidRDefault="0033506E" w:rsidP="001C5907">
            <w:pPr>
              <w:rPr>
                <w:b/>
              </w:rPr>
            </w:pPr>
            <w:r w:rsidRPr="000F7E1C">
              <w:rPr>
                <w:b/>
              </w:rPr>
              <w:t>S „Silné stránky“</w:t>
            </w:r>
          </w:p>
        </w:tc>
        <w:tc>
          <w:tcPr>
            <w:tcW w:w="4606" w:type="dxa"/>
            <w:shd w:val="clear" w:color="auto" w:fill="FBD4B4" w:themeFill="accent6" w:themeFillTint="66"/>
          </w:tcPr>
          <w:p w:rsidR="0033506E" w:rsidRPr="000F7E1C" w:rsidRDefault="0033506E" w:rsidP="001C5907">
            <w:pPr>
              <w:rPr>
                <w:b/>
              </w:rPr>
            </w:pPr>
            <w:r w:rsidRPr="000F7E1C">
              <w:rPr>
                <w:b/>
              </w:rPr>
              <w:t>W „Slabé stránky“</w:t>
            </w:r>
          </w:p>
        </w:tc>
      </w:tr>
      <w:tr w:rsidR="0033506E" w:rsidTr="001C5907">
        <w:trPr>
          <w:cantSplit/>
          <w:trHeight w:val="2309"/>
        </w:trPr>
        <w:tc>
          <w:tcPr>
            <w:tcW w:w="4606" w:type="dxa"/>
            <w:shd w:val="clear" w:color="auto" w:fill="EAF1DD" w:themeFill="accent3" w:themeFillTint="33"/>
          </w:tcPr>
          <w:p w:rsidR="0033506E" w:rsidRPr="0033506E" w:rsidRDefault="0033506E" w:rsidP="00A60AC9">
            <w:pPr>
              <w:pStyle w:val="Odstavecseseznamem"/>
              <w:numPr>
                <w:ilvl w:val="0"/>
                <w:numId w:val="26"/>
              </w:numPr>
              <w:jc w:val="left"/>
              <w:rPr>
                <w:rFonts w:eastAsia="Arial Unicode MS" w:cs="Arial Unicode MS"/>
              </w:rPr>
            </w:pPr>
            <w:r w:rsidRPr="0033506E">
              <w:rPr>
                <w:rFonts w:eastAsia="Arial Unicode MS" w:cs="Arial Unicode MS"/>
                <w:szCs w:val="20"/>
              </w:rPr>
              <w:lastRenderedPageBreak/>
              <w:t>Zvýšení počtu obyvatel ve středně velkých obcích</w:t>
            </w:r>
            <w:r w:rsidR="0012051C">
              <w:rPr>
                <w:rFonts w:eastAsia="Arial Unicode MS" w:cs="Arial Unicode MS"/>
                <w:szCs w:val="20"/>
              </w:rPr>
              <w:t>.</w:t>
            </w:r>
          </w:p>
          <w:p w:rsidR="0033506E" w:rsidRPr="0033506E" w:rsidRDefault="0033506E" w:rsidP="00A60AC9">
            <w:pPr>
              <w:pStyle w:val="Odstavecseseznamem"/>
              <w:numPr>
                <w:ilvl w:val="0"/>
                <w:numId w:val="26"/>
              </w:numPr>
              <w:jc w:val="left"/>
              <w:rPr>
                <w:rFonts w:eastAsia="Arial Unicode MS" w:cs="Arial Unicode MS"/>
              </w:rPr>
            </w:pPr>
            <w:r w:rsidRPr="0033506E">
              <w:rPr>
                <w:rFonts w:eastAsia="Arial Unicode MS" w:cs="Arial Unicode MS"/>
              </w:rPr>
              <w:t>Nízký populační úbytek</w:t>
            </w:r>
            <w:r w:rsidR="0012051C">
              <w:rPr>
                <w:rFonts w:eastAsia="Arial Unicode MS" w:cs="Arial Unicode MS"/>
              </w:rPr>
              <w:t>.</w:t>
            </w:r>
          </w:p>
        </w:tc>
        <w:tc>
          <w:tcPr>
            <w:tcW w:w="4606" w:type="dxa"/>
            <w:shd w:val="clear" w:color="auto" w:fill="FDE9D9" w:themeFill="accent6" w:themeFillTint="33"/>
          </w:tcPr>
          <w:p w:rsidR="0033506E" w:rsidRPr="0033506E" w:rsidRDefault="0033506E" w:rsidP="00A60AC9">
            <w:pPr>
              <w:pStyle w:val="Odstavecseseznamem"/>
              <w:numPr>
                <w:ilvl w:val="0"/>
                <w:numId w:val="25"/>
              </w:numPr>
              <w:jc w:val="left"/>
              <w:rPr>
                <w:rFonts w:eastAsia="Arial Unicode MS" w:cs="Arial Unicode MS"/>
              </w:rPr>
            </w:pPr>
            <w:r w:rsidRPr="0033506E">
              <w:rPr>
                <w:rFonts w:eastAsia="Arial Unicode MS" w:cs="Arial Unicode MS"/>
              </w:rPr>
              <w:t>Stárnutí populace</w:t>
            </w:r>
          </w:p>
          <w:p w:rsidR="0033506E" w:rsidRPr="0033506E" w:rsidRDefault="0033506E" w:rsidP="00A60AC9">
            <w:pPr>
              <w:pStyle w:val="Odstavecseseznamem"/>
              <w:numPr>
                <w:ilvl w:val="0"/>
                <w:numId w:val="25"/>
              </w:numPr>
              <w:jc w:val="left"/>
              <w:rPr>
                <w:rFonts w:eastAsia="Arial Unicode MS" w:cs="Arial Unicode MS"/>
              </w:rPr>
            </w:pPr>
            <w:r w:rsidRPr="0033506E">
              <w:rPr>
                <w:rFonts w:eastAsia="Arial Unicode MS" w:cs="Arial Unicode MS"/>
              </w:rPr>
              <w:t xml:space="preserve">Migrace </w:t>
            </w:r>
            <w:r w:rsidR="0012051C">
              <w:rPr>
                <w:rFonts w:eastAsia="Arial Unicode MS" w:cs="Arial Unicode MS"/>
              </w:rPr>
              <w:t>(odliv).</w:t>
            </w:r>
          </w:p>
          <w:p w:rsidR="0033506E" w:rsidRPr="0033506E" w:rsidRDefault="0033506E" w:rsidP="00A60AC9">
            <w:pPr>
              <w:pStyle w:val="Odstavecseseznamem"/>
              <w:numPr>
                <w:ilvl w:val="0"/>
                <w:numId w:val="25"/>
              </w:numPr>
              <w:jc w:val="left"/>
              <w:rPr>
                <w:rFonts w:eastAsia="Arial Unicode MS" w:cs="Arial Unicode MS"/>
              </w:rPr>
            </w:pPr>
            <w:r w:rsidRPr="0033506E">
              <w:rPr>
                <w:rFonts w:eastAsia="Arial Unicode MS" w:cs="Arial Unicode MS"/>
              </w:rPr>
              <w:t>Úbytek narozených</w:t>
            </w:r>
            <w:r w:rsidR="0012051C">
              <w:rPr>
                <w:rFonts w:eastAsia="Arial Unicode MS" w:cs="Arial Unicode MS"/>
              </w:rPr>
              <w:t>.</w:t>
            </w:r>
          </w:p>
        </w:tc>
      </w:tr>
      <w:tr w:rsidR="0033506E" w:rsidTr="001C5907">
        <w:trPr>
          <w:cantSplit/>
        </w:trPr>
        <w:tc>
          <w:tcPr>
            <w:tcW w:w="4606" w:type="dxa"/>
            <w:shd w:val="clear" w:color="auto" w:fill="B8CCE4" w:themeFill="accent1" w:themeFillTint="66"/>
          </w:tcPr>
          <w:p w:rsidR="0033506E" w:rsidRPr="0033506E" w:rsidRDefault="0033506E" w:rsidP="001C5907">
            <w:pPr>
              <w:rPr>
                <w:rFonts w:eastAsia="Arial Unicode MS" w:cs="Arial Unicode MS"/>
                <w:b/>
              </w:rPr>
            </w:pPr>
            <w:r w:rsidRPr="0033506E">
              <w:rPr>
                <w:rFonts w:eastAsia="Arial Unicode MS" w:cs="Arial Unicode MS"/>
                <w:b/>
              </w:rPr>
              <w:t>O „Příležitosti“</w:t>
            </w:r>
          </w:p>
        </w:tc>
        <w:tc>
          <w:tcPr>
            <w:tcW w:w="4606" w:type="dxa"/>
            <w:shd w:val="clear" w:color="auto" w:fill="E5B8B7" w:themeFill="accent2" w:themeFillTint="66"/>
          </w:tcPr>
          <w:p w:rsidR="0033506E" w:rsidRPr="0033506E" w:rsidRDefault="0033506E" w:rsidP="001C5907">
            <w:pPr>
              <w:rPr>
                <w:rFonts w:eastAsia="Arial Unicode MS" w:cs="Arial Unicode MS"/>
                <w:b/>
              </w:rPr>
            </w:pPr>
            <w:r w:rsidRPr="0033506E">
              <w:rPr>
                <w:rFonts w:eastAsia="Arial Unicode MS" w:cs="Arial Unicode MS"/>
                <w:b/>
              </w:rPr>
              <w:t>T „Hrozby“</w:t>
            </w:r>
          </w:p>
        </w:tc>
      </w:tr>
      <w:tr w:rsidR="0033506E" w:rsidTr="001C5907">
        <w:trPr>
          <w:cantSplit/>
          <w:trHeight w:val="2829"/>
        </w:trPr>
        <w:tc>
          <w:tcPr>
            <w:tcW w:w="4606" w:type="dxa"/>
            <w:shd w:val="clear" w:color="auto" w:fill="DBE5F1" w:themeFill="accent1" w:themeFillTint="33"/>
          </w:tcPr>
          <w:p w:rsidR="0033506E" w:rsidRPr="0033506E" w:rsidRDefault="0012051C" w:rsidP="00A60AC9">
            <w:pPr>
              <w:pStyle w:val="Odstavecseseznamem"/>
              <w:numPr>
                <w:ilvl w:val="0"/>
                <w:numId w:val="27"/>
              </w:numPr>
              <w:jc w:val="left"/>
              <w:rPr>
                <w:rFonts w:eastAsia="Arial Unicode MS" w:cs="Arial Unicode MS"/>
              </w:rPr>
            </w:pPr>
            <w:r>
              <w:rPr>
                <w:rFonts w:eastAsia="Arial Unicode MS" w:cs="Arial Unicode MS"/>
              </w:rPr>
              <w:t>P</w:t>
            </w:r>
            <w:r w:rsidR="0033506E" w:rsidRPr="0033506E">
              <w:rPr>
                <w:rFonts w:eastAsia="Arial Unicode MS" w:cs="Arial Unicode MS"/>
              </w:rPr>
              <w:t>odpora vzdělanosti</w:t>
            </w:r>
            <w:r>
              <w:rPr>
                <w:rFonts w:eastAsia="Arial Unicode MS" w:cs="Arial Unicode MS"/>
              </w:rPr>
              <w:t>.</w:t>
            </w:r>
          </w:p>
          <w:p w:rsidR="0033506E" w:rsidRPr="0033506E" w:rsidRDefault="0012051C" w:rsidP="00A60AC9">
            <w:pPr>
              <w:pStyle w:val="Odstavecseseznamem"/>
              <w:numPr>
                <w:ilvl w:val="0"/>
                <w:numId w:val="27"/>
              </w:numPr>
              <w:jc w:val="left"/>
              <w:rPr>
                <w:rFonts w:eastAsia="Arial Unicode MS" w:cs="Arial Unicode MS"/>
              </w:rPr>
            </w:pPr>
            <w:r>
              <w:rPr>
                <w:rFonts w:eastAsia="Arial Unicode MS" w:cs="Arial Unicode MS"/>
              </w:rPr>
              <w:t>Zlepšení občanské vybavenosti.</w:t>
            </w:r>
          </w:p>
          <w:p w:rsidR="0033506E" w:rsidRPr="0033506E" w:rsidRDefault="0033506E" w:rsidP="00A60AC9">
            <w:pPr>
              <w:pStyle w:val="Odstavecseseznamem"/>
              <w:numPr>
                <w:ilvl w:val="0"/>
                <w:numId w:val="27"/>
              </w:numPr>
              <w:jc w:val="left"/>
              <w:rPr>
                <w:rFonts w:eastAsia="Arial Unicode MS" w:cs="Arial Unicode MS"/>
              </w:rPr>
            </w:pPr>
            <w:r w:rsidRPr="0033506E">
              <w:rPr>
                <w:rFonts w:eastAsia="Arial Unicode MS" w:cs="Arial Unicode MS"/>
              </w:rPr>
              <w:t>Nové pracovní příležitosti</w:t>
            </w:r>
          </w:p>
          <w:p w:rsidR="0033506E" w:rsidRPr="0033506E" w:rsidRDefault="0033506E" w:rsidP="001C5907">
            <w:pPr>
              <w:pStyle w:val="Odstavecseseznamem"/>
              <w:ind w:left="720"/>
              <w:jc w:val="left"/>
              <w:rPr>
                <w:rFonts w:eastAsia="Arial Unicode MS" w:cs="Arial Unicode MS"/>
              </w:rPr>
            </w:pPr>
          </w:p>
        </w:tc>
        <w:tc>
          <w:tcPr>
            <w:tcW w:w="4606" w:type="dxa"/>
            <w:shd w:val="clear" w:color="auto" w:fill="F2DBDB" w:themeFill="accent2" w:themeFillTint="33"/>
          </w:tcPr>
          <w:p w:rsidR="0033506E" w:rsidRPr="0033506E" w:rsidRDefault="0033506E" w:rsidP="00A60AC9">
            <w:pPr>
              <w:pStyle w:val="Odstavecseseznamem"/>
              <w:numPr>
                <w:ilvl w:val="0"/>
                <w:numId w:val="27"/>
              </w:numPr>
              <w:jc w:val="left"/>
              <w:rPr>
                <w:rFonts w:eastAsia="Arial Unicode MS" w:cs="Arial Unicode MS"/>
              </w:rPr>
            </w:pPr>
            <w:r w:rsidRPr="0033506E">
              <w:rPr>
                <w:rFonts w:eastAsia="Arial Unicode MS" w:cs="Arial Unicode MS"/>
              </w:rPr>
              <w:t>Odliv kvalifikované mladé pracovní síly</w:t>
            </w:r>
            <w:r w:rsidR="0012051C">
              <w:rPr>
                <w:rFonts w:eastAsia="Arial Unicode MS" w:cs="Arial Unicode MS"/>
              </w:rPr>
              <w:t>.</w:t>
            </w:r>
          </w:p>
          <w:p w:rsidR="0033506E" w:rsidRPr="0033506E" w:rsidRDefault="0033506E" w:rsidP="00A60AC9">
            <w:pPr>
              <w:pStyle w:val="Odstavecseseznamem"/>
              <w:numPr>
                <w:ilvl w:val="0"/>
                <w:numId w:val="27"/>
              </w:numPr>
              <w:jc w:val="left"/>
              <w:rPr>
                <w:rFonts w:eastAsia="Arial Unicode MS" w:cs="Arial Unicode MS"/>
              </w:rPr>
            </w:pPr>
            <w:r w:rsidRPr="0033506E">
              <w:rPr>
                <w:rFonts w:eastAsia="Arial Unicode MS" w:cs="Arial Unicode MS"/>
              </w:rPr>
              <w:t>Nedostatečné kapacit</w:t>
            </w:r>
            <w:r w:rsidR="0012051C">
              <w:rPr>
                <w:rFonts w:eastAsia="Arial Unicode MS" w:cs="Arial Unicode MS"/>
              </w:rPr>
              <w:t>y sociálních služeb pro seniory.</w:t>
            </w:r>
          </w:p>
          <w:p w:rsidR="0033506E" w:rsidRPr="0033506E" w:rsidRDefault="0033506E" w:rsidP="00A60AC9">
            <w:pPr>
              <w:pStyle w:val="Odstavecseseznamem"/>
              <w:numPr>
                <w:ilvl w:val="0"/>
                <w:numId w:val="27"/>
              </w:numPr>
              <w:jc w:val="left"/>
              <w:rPr>
                <w:rFonts w:eastAsia="Arial Unicode MS" w:cs="Arial Unicode MS"/>
              </w:rPr>
            </w:pPr>
            <w:r w:rsidRPr="0033506E">
              <w:rPr>
                <w:rFonts w:eastAsia="Arial Unicode MS" w:cs="Arial Unicode MS"/>
              </w:rPr>
              <w:t>Zvyšování ekonomické zátěže obyvatel a finanční náročnost sociálních služeb</w:t>
            </w:r>
            <w:r w:rsidR="0012051C">
              <w:rPr>
                <w:rFonts w:eastAsia="Arial Unicode MS" w:cs="Arial Unicode MS"/>
              </w:rPr>
              <w:t>.</w:t>
            </w:r>
          </w:p>
        </w:tc>
      </w:tr>
    </w:tbl>
    <w:p w:rsidR="0033506E" w:rsidRDefault="0033506E" w:rsidP="0033506E">
      <w:pPr>
        <w:rPr>
          <w:rFonts w:ascii="Calibri" w:eastAsia="Calibri" w:hAnsi="Calibri" w:cs="Calibri"/>
        </w:rPr>
      </w:pPr>
    </w:p>
    <w:p w:rsidR="0050130D" w:rsidRPr="00C63F75" w:rsidRDefault="0026647A" w:rsidP="00C63F75">
      <w:r>
        <w:t>Protože život v regionu je vlastně smyslem celé této strategie, jsou jednotlivé cesty k jeho udržení nebo zkvalitnění rozebírány až v dalších kapitolách analytické části tohoto dokumentu.</w:t>
      </w:r>
      <w:r w:rsidR="00593189">
        <w:rPr>
          <w:rStyle w:val="Znakapoznpodarou"/>
        </w:rPr>
        <w:footnoteReference w:id="10"/>
      </w:r>
    </w:p>
    <w:p w:rsidR="00120802" w:rsidRDefault="00120802" w:rsidP="009F4D7F">
      <w:pPr>
        <w:pStyle w:val="Nadpis3"/>
      </w:pPr>
      <w:bookmarkStart w:id="23" w:name="_Toc430006497"/>
      <w:r>
        <w:t>Technická infrastruktura</w:t>
      </w:r>
      <w:bookmarkEnd w:id="23"/>
    </w:p>
    <w:tbl>
      <w:tblPr>
        <w:tblW w:w="5258" w:type="dxa"/>
        <w:tblInd w:w="55" w:type="dxa"/>
        <w:tblCellMar>
          <w:left w:w="70" w:type="dxa"/>
          <w:right w:w="70" w:type="dxa"/>
        </w:tblCellMar>
        <w:tblLook w:val="04A0"/>
      </w:tblPr>
      <w:tblGrid>
        <w:gridCol w:w="1418"/>
        <w:gridCol w:w="960"/>
        <w:gridCol w:w="960"/>
        <w:gridCol w:w="960"/>
        <w:gridCol w:w="960"/>
      </w:tblGrid>
      <w:tr w:rsidR="00083F00" w:rsidRPr="00083F00" w:rsidTr="007D3FD6">
        <w:trPr>
          <w:trHeight w:val="345"/>
        </w:trPr>
        <w:tc>
          <w:tcPr>
            <w:tcW w:w="1418" w:type="dxa"/>
            <w:vMerge w:val="restart"/>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Pr>
                <w:rFonts w:ascii="Calibri" w:hAnsi="Calibri" w:cs="Calibri"/>
                <w:b/>
                <w:bCs/>
                <w:color w:val="FFFFFF"/>
                <w:sz w:val="18"/>
                <w:szCs w:val="18"/>
                <w:lang w:eastAsia="cs-CZ"/>
              </w:rPr>
              <w:t>O</w:t>
            </w:r>
            <w:r w:rsidRPr="00083F00">
              <w:rPr>
                <w:rFonts w:ascii="Calibri" w:hAnsi="Calibri" w:cs="Calibri"/>
                <w:b/>
                <w:bCs/>
                <w:color w:val="FFFFFF"/>
                <w:sz w:val="18"/>
                <w:szCs w:val="18"/>
                <w:lang w:eastAsia="cs-CZ"/>
              </w:rPr>
              <w:t>bce podle velikosti</w:t>
            </w:r>
          </w:p>
        </w:tc>
        <w:tc>
          <w:tcPr>
            <w:tcW w:w="960" w:type="dxa"/>
            <w:vMerge w:val="restart"/>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sidRPr="00083F00">
              <w:rPr>
                <w:rFonts w:ascii="Calibri" w:hAnsi="Calibri" w:cs="Calibri"/>
                <w:b/>
                <w:bCs/>
                <w:color w:val="FFFFFF"/>
                <w:sz w:val="18"/>
                <w:szCs w:val="18"/>
                <w:lang w:eastAsia="cs-CZ"/>
              </w:rPr>
              <w:t>Obydlené domy</w:t>
            </w:r>
          </w:p>
        </w:tc>
        <w:tc>
          <w:tcPr>
            <w:tcW w:w="2880" w:type="dxa"/>
            <w:gridSpan w:val="3"/>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sidRPr="00083F00">
              <w:rPr>
                <w:rFonts w:ascii="Calibri" w:hAnsi="Calibri" w:cs="Calibri"/>
                <w:b/>
                <w:bCs/>
                <w:color w:val="FFFFFF"/>
                <w:sz w:val="18"/>
                <w:szCs w:val="18"/>
                <w:lang w:eastAsia="cs-CZ"/>
              </w:rPr>
              <w:t>Technické vybavení</w:t>
            </w:r>
          </w:p>
        </w:tc>
      </w:tr>
      <w:tr w:rsidR="00083F00" w:rsidRPr="00083F00" w:rsidTr="007D3FD6">
        <w:trPr>
          <w:trHeight w:val="345"/>
        </w:trPr>
        <w:tc>
          <w:tcPr>
            <w:tcW w:w="1418" w:type="dxa"/>
            <w:vMerge/>
            <w:tcBorders>
              <w:top w:val="nil"/>
              <w:left w:val="nil"/>
              <w:bottom w:val="nil"/>
              <w:right w:val="nil"/>
            </w:tcBorders>
            <w:vAlign w:val="center"/>
            <w:hideMark/>
          </w:tcPr>
          <w:p w:rsidR="00083F00" w:rsidRPr="00083F00" w:rsidRDefault="00083F00" w:rsidP="00083F00">
            <w:pPr>
              <w:suppressAutoHyphens w:val="0"/>
              <w:spacing w:after="0"/>
              <w:jc w:val="left"/>
              <w:rPr>
                <w:rFonts w:ascii="Calibri" w:hAnsi="Calibri" w:cs="Calibri"/>
                <w:b/>
                <w:bCs/>
                <w:color w:val="FFFFFF"/>
                <w:sz w:val="18"/>
                <w:szCs w:val="18"/>
                <w:lang w:eastAsia="cs-CZ"/>
              </w:rPr>
            </w:pPr>
          </w:p>
        </w:tc>
        <w:tc>
          <w:tcPr>
            <w:tcW w:w="960" w:type="dxa"/>
            <w:vMerge/>
            <w:tcBorders>
              <w:top w:val="nil"/>
              <w:left w:val="nil"/>
              <w:bottom w:val="nil"/>
              <w:right w:val="nil"/>
            </w:tcBorders>
            <w:vAlign w:val="center"/>
            <w:hideMark/>
          </w:tcPr>
          <w:p w:rsidR="00083F00" w:rsidRPr="00083F00" w:rsidRDefault="00083F00" w:rsidP="00083F00">
            <w:pPr>
              <w:suppressAutoHyphens w:val="0"/>
              <w:spacing w:after="0"/>
              <w:jc w:val="left"/>
              <w:rPr>
                <w:rFonts w:ascii="Calibri" w:hAnsi="Calibri" w:cs="Calibri"/>
                <w:b/>
                <w:bCs/>
                <w:color w:val="FFFFFF"/>
                <w:sz w:val="18"/>
                <w:szCs w:val="18"/>
                <w:lang w:eastAsia="cs-CZ"/>
              </w:rPr>
            </w:pPr>
          </w:p>
        </w:tc>
        <w:tc>
          <w:tcPr>
            <w:tcW w:w="960" w:type="dxa"/>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sidRPr="00083F00">
              <w:rPr>
                <w:rFonts w:ascii="Calibri" w:hAnsi="Calibri" w:cs="Calibri"/>
                <w:b/>
                <w:bCs/>
                <w:color w:val="FFFFFF"/>
                <w:sz w:val="18"/>
                <w:szCs w:val="18"/>
                <w:lang w:eastAsia="cs-CZ"/>
              </w:rPr>
              <w:t>Kanalizace</w:t>
            </w:r>
          </w:p>
        </w:tc>
        <w:tc>
          <w:tcPr>
            <w:tcW w:w="960" w:type="dxa"/>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sidRPr="00083F00">
              <w:rPr>
                <w:rFonts w:ascii="Calibri" w:hAnsi="Calibri" w:cs="Calibri"/>
                <w:b/>
                <w:bCs/>
                <w:color w:val="FFFFFF"/>
                <w:sz w:val="18"/>
                <w:szCs w:val="18"/>
                <w:lang w:eastAsia="cs-CZ"/>
              </w:rPr>
              <w:t>Vodovod</w:t>
            </w:r>
          </w:p>
        </w:tc>
        <w:tc>
          <w:tcPr>
            <w:tcW w:w="960" w:type="dxa"/>
            <w:tcBorders>
              <w:top w:val="nil"/>
              <w:left w:val="nil"/>
              <w:bottom w:val="nil"/>
              <w:right w:val="nil"/>
            </w:tcBorders>
            <w:shd w:val="clear" w:color="000000" w:fill="17375D"/>
            <w:vAlign w:val="bottom"/>
            <w:hideMark/>
          </w:tcPr>
          <w:p w:rsidR="00083F00" w:rsidRPr="00083F00" w:rsidRDefault="00083F00" w:rsidP="00083F00">
            <w:pPr>
              <w:suppressAutoHyphens w:val="0"/>
              <w:spacing w:after="0"/>
              <w:jc w:val="center"/>
              <w:rPr>
                <w:rFonts w:ascii="Calibri" w:hAnsi="Calibri" w:cs="Calibri"/>
                <w:b/>
                <w:bCs/>
                <w:color w:val="FFFFFF"/>
                <w:sz w:val="18"/>
                <w:szCs w:val="18"/>
                <w:lang w:eastAsia="cs-CZ"/>
              </w:rPr>
            </w:pPr>
            <w:r w:rsidRPr="00083F00">
              <w:rPr>
                <w:rFonts w:ascii="Calibri" w:hAnsi="Calibri" w:cs="Calibri"/>
                <w:b/>
                <w:bCs/>
                <w:color w:val="FFFFFF"/>
                <w:sz w:val="18"/>
                <w:szCs w:val="18"/>
                <w:lang w:eastAsia="cs-CZ"/>
              </w:rPr>
              <w:t>Plyn</w:t>
            </w:r>
          </w:p>
        </w:tc>
      </w:tr>
      <w:tr w:rsidR="00083F00" w:rsidRPr="00083F00" w:rsidTr="007D3FD6">
        <w:trPr>
          <w:trHeight w:val="345"/>
        </w:trPr>
        <w:tc>
          <w:tcPr>
            <w:tcW w:w="1418" w:type="dxa"/>
            <w:tcBorders>
              <w:top w:val="nil"/>
              <w:left w:val="nil"/>
              <w:bottom w:val="nil"/>
              <w:right w:val="nil"/>
            </w:tcBorders>
            <w:shd w:val="clear" w:color="000000" w:fill="8DB4E3"/>
            <w:noWrap/>
            <w:vAlign w:val="bottom"/>
            <w:hideMark/>
          </w:tcPr>
          <w:p w:rsidR="00083F00" w:rsidRPr="00083F00" w:rsidRDefault="00083F00" w:rsidP="00083F00">
            <w:pPr>
              <w:suppressAutoHyphens w:val="0"/>
              <w:spacing w:after="0"/>
              <w:jc w:val="left"/>
              <w:rPr>
                <w:rFonts w:ascii="Calibri" w:hAnsi="Calibri" w:cs="Calibri"/>
                <w:color w:val="000000"/>
                <w:sz w:val="18"/>
                <w:szCs w:val="18"/>
                <w:lang w:eastAsia="cs-CZ"/>
              </w:rPr>
            </w:pPr>
            <w:r w:rsidRPr="00083F00">
              <w:rPr>
                <w:rFonts w:ascii="Calibri" w:hAnsi="Calibri" w:cs="Calibri"/>
                <w:color w:val="000000"/>
                <w:sz w:val="18"/>
                <w:szCs w:val="18"/>
                <w:lang w:eastAsia="cs-CZ"/>
              </w:rPr>
              <w:t>67-200</w:t>
            </w:r>
          </w:p>
        </w:tc>
        <w:tc>
          <w:tcPr>
            <w:tcW w:w="960" w:type="dxa"/>
            <w:tcBorders>
              <w:top w:val="nil"/>
              <w:left w:val="nil"/>
              <w:bottom w:val="nil"/>
              <w:right w:val="nil"/>
            </w:tcBorders>
            <w:shd w:val="clear" w:color="000000" w:fill="B8CCE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764</w:t>
            </w:r>
          </w:p>
        </w:tc>
        <w:tc>
          <w:tcPr>
            <w:tcW w:w="960" w:type="dxa"/>
            <w:tcBorders>
              <w:top w:val="nil"/>
              <w:left w:val="nil"/>
              <w:bottom w:val="nil"/>
              <w:right w:val="nil"/>
            </w:tcBorders>
            <w:shd w:val="clear" w:color="000000" w:fill="F8696B"/>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1,31%</w:t>
            </w:r>
          </w:p>
        </w:tc>
        <w:tc>
          <w:tcPr>
            <w:tcW w:w="960" w:type="dxa"/>
            <w:tcBorders>
              <w:top w:val="nil"/>
              <w:left w:val="nil"/>
              <w:bottom w:val="nil"/>
              <w:right w:val="nil"/>
            </w:tcBorders>
            <w:shd w:val="clear" w:color="000000" w:fill="6A93BF"/>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92,02%</w:t>
            </w:r>
          </w:p>
        </w:tc>
        <w:tc>
          <w:tcPr>
            <w:tcW w:w="960" w:type="dxa"/>
            <w:tcBorders>
              <w:top w:val="nil"/>
              <w:left w:val="nil"/>
              <w:bottom w:val="nil"/>
              <w:right w:val="nil"/>
            </w:tcBorders>
            <w:shd w:val="clear" w:color="000000" w:fill="FBA476"/>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25,00%</w:t>
            </w:r>
          </w:p>
        </w:tc>
      </w:tr>
      <w:tr w:rsidR="00083F00" w:rsidRPr="00083F00" w:rsidTr="007D3FD6">
        <w:trPr>
          <w:trHeight w:val="345"/>
        </w:trPr>
        <w:tc>
          <w:tcPr>
            <w:tcW w:w="1418" w:type="dxa"/>
            <w:tcBorders>
              <w:top w:val="nil"/>
              <w:left w:val="nil"/>
              <w:bottom w:val="nil"/>
              <w:right w:val="nil"/>
            </w:tcBorders>
            <w:shd w:val="clear" w:color="000000" w:fill="8DB4E3"/>
            <w:noWrap/>
            <w:vAlign w:val="bottom"/>
            <w:hideMark/>
          </w:tcPr>
          <w:p w:rsidR="00083F00" w:rsidRPr="00083F00" w:rsidRDefault="00083F00" w:rsidP="00083F00">
            <w:pPr>
              <w:suppressAutoHyphens w:val="0"/>
              <w:spacing w:after="0"/>
              <w:jc w:val="left"/>
              <w:rPr>
                <w:rFonts w:ascii="Calibri" w:hAnsi="Calibri" w:cs="Calibri"/>
                <w:color w:val="000000"/>
                <w:sz w:val="18"/>
                <w:szCs w:val="18"/>
                <w:lang w:eastAsia="cs-CZ"/>
              </w:rPr>
            </w:pPr>
            <w:r w:rsidRPr="00083F00">
              <w:rPr>
                <w:rFonts w:ascii="Calibri" w:hAnsi="Calibri" w:cs="Calibri"/>
                <w:color w:val="000000"/>
                <w:sz w:val="18"/>
                <w:szCs w:val="18"/>
                <w:lang w:eastAsia="cs-CZ"/>
              </w:rPr>
              <w:t>201-500</w:t>
            </w:r>
          </w:p>
        </w:tc>
        <w:tc>
          <w:tcPr>
            <w:tcW w:w="960" w:type="dxa"/>
            <w:tcBorders>
              <w:top w:val="nil"/>
              <w:left w:val="nil"/>
              <w:bottom w:val="nil"/>
              <w:right w:val="nil"/>
            </w:tcBorders>
            <w:shd w:val="clear" w:color="000000" w:fill="B8CCE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1669</w:t>
            </w:r>
          </w:p>
        </w:tc>
        <w:tc>
          <w:tcPr>
            <w:tcW w:w="960" w:type="dxa"/>
            <w:tcBorders>
              <w:top w:val="nil"/>
              <w:left w:val="nil"/>
              <w:bottom w:val="nil"/>
              <w:right w:val="nil"/>
            </w:tcBorders>
            <w:shd w:val="clear" w:color="000000" w:fill="FA9072"/>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16,96%</w:t>
            </w:r>
          </w:p>
        </w:tc>
        <w:tc>
          <w:tcPr>
            <w:tcW w:w="960" w:type="dxa"/>
            <w:tcBorders>
              <w:top w:val="nil"/>
              <w:left w:val="nil"/>
              <w:bottom w:val="nil"/>
              <w:right w:val="nil"/>
            </w:tcBorders>
            <w:shd w:val="clear" w:color="000000" w:fill="6792C0"/>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92,57%</w:t>
            </w:r>
          </w:p>
        </w:tc>
        <w:tc>
          <w:tcPr>
            <w:tcW w:w="960" w:type="dxa"/>
            <w:tcBorders>
              <w:top w:val="nil"/>
              <w:left w:val="nil"/>
              <w:bottom w:val="nil"/>
              <w:right w:val="nil"/>
            </w:tcBorders>
            <w:shd w:val="clear" w:color="000000" w:fill="FCBF7B"/>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35,95%</w:t>
            </w:r>
          </w:p>
        </w:tc>
      </w:tr>
      <w:tr w:rsidR="00083F00" w:rsidRPr="00083F00" w:rsidTr="007D3FD6">
        <w:trPr>
          <w:trHeight w:val="345"/>
        </w:trPr>
        <w:tc>
          <w:tcPr>
            <w:tcW w:w="1418" w:type="dxa"/>
            <w:tcBorders>
              <w:top w:val="nil"/>
              <w:left w:val="nil"/>
              <w:bottom w:val="nil"/>
              <w:right w:val="nil"/>
            </w:tcBorders>
            <w:shd w:val="clear" w:color="000000" w:fill="8DB4E3"/>
            <w:noWrap/>
            <w:vAlign w:val="bottom"/>
            <w:hideMark/>
          </w:tcPr>
          <w:p w:rsidR="00083F00" w:rsidRPr="00083F00" w:rsidRDefault="00083F00" w:rsidP="00083F00">
            <w:pPr>
              <w:suppressAutoHyphens w:val="0"/>
              <w:spacing w:after="0"/>
              <w:jc w:val="left"/>
              <w:rPr>
                <w:rFonts w:ascii="Calibri" w:hAnsi="Calibri" w:cs="Calibri"/>
                <w:color w:val="000000"/>
                <w:sz w:val="18"/>
                <w:szCs w:val="18"/>
                <w:lang w:eastAsia="cs-CZ"/>
              </w:rPr>
            </w:pPr>
            <w:r w:rsidRPr="00083F00">
              <w:rPr>
                <w:rFonts w:ascii="Calibri" w:hAnsi="Calibri" w:cs="Calibri"/>
                <w:color w:val="000000"/>
                <w:sz w:val="18"/>
                <w:szCs w:val="18"/>
                <w:lang w:eastAsia="cs-CZ"/>
              </w:rPr>
              <w:t>501-1000</w:t>
            </w:r>
          </w:p>
        </w:tc>
        <w:tc>
          <w:tcPr>
            <w:tcW w:w="960" w:type="dxa"/>
            <w:tcBorders>
              <w:top w:val="nil"/>
              <w:left w:val="nil"/>
              <w:bottom w:val="nil"/>
              <w:right w:val="nil"/>
            </w:tcBorders>
            <w:shd w:val="clear" w:color="000000" w:fill="B8CCE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2126</w:t>
            </w:r>
          </w:p>
        </w:tc>
        <w:tc>
          <w:tcPr>
            <w:tcW w:w="960" w:type="dxa"/>
            <w:tcBorders>
              <w:top w:val="nil"/>
              <w:left w:val="nil"/>
              <w:bottom w:val="nil"/>
              <w:right w:val="nil"/>
            </w:tcBorders>
            <w:shd w:val="clear" w:color="000000" w:fill="FBB279"/>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30,71%</w:t>
            </w:r>
          </w:p>
        </w:tc>
        <w:tc>
          <w:tcPr>
            <w:tcW w:w="960" w:type="dxa"/>
            <w:tcBorders>
              <w:top w:val="nil"/>
              <w:left w:val="nil"/>
              <w:bottom w:val="nil"/>
              <w:right w:val="nil"/>
            </w:tcBorders>
            <w:shd w:val="clear" w:color="000000" w:fill="5E8DC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95,01%</w:t>
            </w:r>
          </w:p>
        </w:tc>
        <w:tc>
          <w:tcPr>
            <w:tcW w:w="960" w:type="dxa"/>
            <w:tcBorders>
              <w:top w:val="nil"/>
              <w:left w:val="nil"/>
              <w:bottom w:val="nil"/>
              <w:right w:val="nil"/>
            </w:tcBorders>
            <w:shd w:val="clear" w:color="000000" w:fill="FDD57F"/>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44,78%</w:t>
            </w:r>
          </w:p>
        </w:tc>
      </w:tr>
      <w:tr w:rsidR="00083F00" w:rsidRPr="00083F00" w:rsidTr="007D3FD6">
        <w:trPr>
          <w:trHeight w:val="345"/>
        </w:trPr>
        <w:tc>
          <w:tcPr>
            <w:tcW w:w="1418" w:type="dxa"/>
            <w:tcBorders>
              <w:top w:val="nil"/>
              <w:left w:val="nil"/>
              <w:bottom w:val="nil"/>
              <w:right w:val="nil"/>
            </w:tcBorders>
            <w:shd w:val="clear" w:color="000000" w:fill="8DB4E3"/>
            <w:noWrap/>
            <w:vAlign w:val="bottom"/>
            <w:hideMark/>
          </w:tcPr>
          <w:p w:rsidR="00083F00" w:rsidRPr="00083F00" w:rsidRDefault="00083F00" w:rsidP="00083F00">
            <w:pPr>
              <w:suppressAutoHyphens w:val="0"/>
              <w:spacing w:after="0"/>
              <w:jc w:val="left"/>
              <w:rPr>
                <w:rFonts w:ascii="Calibri" w:hAnsi="Calibri" w:cs="Calibri"/>
                <w:color w:val="000000"/>
                <w:sz w:val="18"/>
                <w:szCs w:val="18"/>
                <w:lang w:eastAsia="cs-CZ"/>
              </w:rPr>
            </w:pPr>
            <w:r w:rsidRPr="00083F00">
              <w:rPr>
                <w:rFonts w:ascii="Calibri" w:hAnsi="Calibri" w:cs="Calibri"/>
                <w:color w:val="000000"/>
                <w:sz w:val="18"/>
                <w:szCs w:val="18"/>
                <w:lang w:eastAsia="cs-CZ"/>
              </w:rPr>
              <w:t>1001-2000</w:t>
            </w:r>
          </w:p>
        </w:tc>
        <w:tc>
          <w:tcPr>
            <w:tcW w:w="960" w:type="dxa"/>
            <w:tcBorders>
              <w:top w:val="nil"/>
              <w:left w:val="nil"/>
              <w:bottom w:val="nil"/>
              <w:right w:val="nil"/>
            </w:tcBorders>
            <w:shd w:val="clear" w:color="000000" w:fill="B8CCE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1299</w:t>
            </w:r>
          </w:p>
        </w:tc>
        <w:tc>
          <w:tcPr>
            <w:tcW w:w="960" w:type="dxa"/>
            <w:tcBorders>
              <w:top w:val="nil"/>
              <w:left w:val="nil"/>
              <w:bottom w:val="nil"/>
              <w:right w:val="nil"/>
            </w:tcBorders>
            <w:shd w:val="clear" w:color="000000" w:fill="F8746D"/>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6,08%</w:t>
            </w:r>
          </w:p>
        </w:tc>
        <w:tc>
          <w:tcPr>
            <w:tcW w:w="960" w:type="dxa"/>
            <w:tcBorders>
              <w:top w:val="nil"/>
              <w:left w:val="nil"/>
              <w:bottom w:val="nil"/>
              <w:right w:val="nil"/>
            </w:tcBorders>
            <w:shd w:val="clear" w:color="000000" w:fill="5A8AC6"/>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95,92%</w:t>
            </w:r>
          </w:p>
        </w:tc>
        <w:tc>
          <w:tcPr>
            <w:tcW w:w="960" w:type="dxa"/>
            <w:tcBorders>
              <w:top w:val="nil"/>
              <w:left w:val="nil"/>
              <w:bottom w:val="nil"/>
              <w:right w:val="nil"/>
            </w:tcBorders>
            <w:shd w:val="clear" w:color="000000" w:fill="FFEB8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53,27%</w:t>
            </w:r>
          </w:p>
        </w:tc>
      </w:tr>
      <w:tr w:rsidR="00083F00" w:rsidRPr="00083F00" w:rsidTr="007D3FD6">
        <w:trPr>
          <w:trHeight w:val="345"/>
        </w:trPr>
        <w:tc>
          <w:tcPr>
            <w:tcW w:w="1418" w:type="dxa"/>
            <w:tcBorders>
              <w:top w:val="nil"/>
              <w:left w:val="nil"/>
              <w:bottom w:val="nil"/>
              <w:right w:val="nil"/>
            </w:tcBorders>
            <w:shd w:val="clear" w:color="000000" w:fill="8DB4E3"/>
            <w:noWrap/>
            <w:vAlign w:val="bottom"/>
            <w:hideMark/>
          </w:tcPr>
          <w:p w:rsidR="00083F00" w:rsidRPr="00083F00" w:rsidRDefault="00083F00" w:rsidP="00083F00">
            <w:pPr>
              <w:suppressAutoHyphens w:val="0"/>
              <w:spacing w:after="0"/>
              <w:jc w:val="left"/>
              <w:rPr>
                <w:rFonts w:ascii="Calibri" w:hAnsi="Calibri" w:cs="Calibri"/>
                <w:color w:val="000000"/>
                <w:sz w:val="18"/>
                <w:szCs w:val="18"/>
                <w:lang w:eastAsia="cs-CZ"/>
              </w:rPr>
            </w:pPr>
            <w:r w:rsidRPr="00083F00">
              <w:rPr>
                <w:rFonts w:ascii="Calibri" w:hAnsi="Calibri" w:cs="Calibri"/>
                <w:color w:val="000000"/>
                <w:sz w:val="18"/>
                <w:szCs w:val="18"/>
                <w:lang w:eastAsia="cs-CZ"/>
              </w:rPr>
              <w:t>2001-12436</w:t>
            </w:r>
          </w:p>
        </w:tc>
        <w:tc>
          <w:tcPr>
            <w:tcW w:w="960" w:type="dxa"/>
            <w:tcBorders>
              <w:top w:val="nil"/>
              <w:left w:val="nil"/>
              <w:bottom w:val="nil"/>
              <w:right w:val="nil"/>
            </w:tcBorders>
            <w:shd w:val="clear" w:color="000000" w:fill="B8CCE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4504</w:t>
            </w:r>
          </w:p>
        </w:tc>
        <w:tc>
          <w:tcPr>
            <w:tcW w:w="960" w:type="dxa"/>
            <w:tcBorders>
              <w:top w:val="nil"/>
              <w:left w:val="nil"/>
              <w:bottom w:val="nil"/>
              <w:right w:val="nil"/>
            </w:tcBorders>
            <w:shd w:val="clear" w:color="000000" w:fill="ADBBA5"/>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74,62%</w:t>
            </w:r>
          </w:p>
        </w:tc>
        <w:tc>
          <w:tcPr>
            <w:tcW w:w="960" w:type="dxa"/>
            <w:tcBorders>
              <w:top w:val="nil"/>
              <w:left w:val="nil"/>
              <w:bottom w:val="nil"/>
              <w:right w:val="nil"/>
            </w:tcBorders>
            <w:shd w:val="clear" w:color="000000" w:fill="5F8DC4"/>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94,69%</w:t>
            </w:r>
          </w:p>
        </w:tc>
        <w:tc>
          <w:tcPr>
            <w:tcW w:w="960" w:type="dxa"/>
            <w:tcBorders>
              <w:top w:val="nil"/>
              <w:left w:val="nil"/>
              <w:bottom w:val="nil"/>
              <w:right w:val="nil"/>
            </w:tcBorders>
            <w:shd w:val="clear" w:color="000000" w:fill="B4BFA2"/>
            <w:noWrap/>
            <w:vAlign w:val="bottom"/>
            <w:hideMark/>
          </w:tcPr>
          <w:p w:rsidR="00083F00" w:rsidRPr="00083F00" w:rsidRDefault="00083F00" w:rsidP="00083F00">
            <w:pPr>
              <w:suppressAutoHyphens w:val="0"/>
              <w:spacing w:after="0"/>
              <w:jc w:val="right"/>
              <w:rPr>
                <w:rFonts w:ascii="Calibri" w:hAnsi="Calibri" w:cs="Calibri"/>
                <w:color w:val="000000"/>
                <w:sz w:val="18"/>
                <w:szCs w:val="18"/>
                <w:lang w:eastAsia="cs-CZ"/>
              </w:rPr>
            </w:pPr>
            <w:r w:rsidRPr="00083F00">
              <w:rPr>
                <w:rFonts w:ascii="Calibri" w:hAnsi="Calibri" w:cs="Calibri"/>
                <w:color w:val="000000"/>
                <w:sz w:val="18"/>
                <w:szCs w:val="18"/>
                <w:lang w:eastAsia="cs-CZ"/>
              </w:rPr>
              <w:t>72,76%</w:t>
            </w:r>
          </w:p>
        </w:tc>
      </w:tr>
    </w:tbl>
    <w:p w:rsidR="008623FB" w:rsidRDefault="008623FB" w:rsidP="00593189">
      <w:r>
        <w:t>Pozn.:modrá barva naznačuje dostatečnou saturaci, červena naopak nedostatečnou</w:t>
      </w:r>
      <w:r w:rsidR="00593189">
        <w:t xml:space="preserve"> (z</w:t>
      </w:r>
      <w:r>
        <w:t>droj: ČSÚ, SCLLD 2011</w:t>
      </w:r>
      <w:r w:rsidR="00593189">
        <w:t>)</w:t>
      </w:r>
    </w:p>
    <w:p w:rsidR="00F54AC0" w:rsidRDefault="00F54AC0" w:rsidP="00C01C0D">
      <w:pPr>
        <w:rPr>
          <w:b/>
        </w:rPr>
      </w:pPr>
      <w:r>
        <w:rPr>
          <w:b/>
        </w:rPr>
        <w:lastRenderedPageBreak/>
        <w:t>Elektrifikace</w:t>
      </w:r>
    </w:p>
    <w:p w:rsidR="00A2013E" w:rsidRPr="00A2013E" w:rsidRDefault="00A2013E" w:rsidP="00C01C0D">
      <w:r w:rsidRPr="00A2013E">
        <w:t>Elektrifikace domácností v regionu je dostatečná</w:t>
      </w:r>
      <w:r w:rsidR="002C315E">
        <w:t>, a to včetně kapacit přenosové soustavy</w:t>
      </w:r>
      <w:r w:rsidRPr="00A2013E">
        <w:t>.</w:t>
      </w:r>
      <w:r>
        <w:t xml:space="preserve"> Řeší se pouze odlehlé lokality sloužící především rekreačním účelům a elektrifikace nové výstavby.</w:t>
      </w:r>
    </w:p>
    <w:p w:rsidR="00F54AC0" w:rsidRDefault="00F54AC0" w:rsidP="00C01C0D">
      <w:pPr>
        <w:rPr>
          <w:b/>
        </w:rPr>
      </w:pPr>
      <w:r w:rsidRPr="00F54AC0">
        <w:rPr>
          <w:b/>
        </w:rPr>
        <w:t>Vodovod</w:t>
      </w:r>
      <w:r>
        <w:rPr>
          <w:b/>
        </w:rPr>
        <w:t>y</w:t>
      </w:r>
    </w:p>
    <w:p w:rsidR="00A2013E" w:rsidRDefault="00A2013E" w:rsidP="00C01C0D">
      <w:r w:rsidRPr="00A2013E">
        <w:t xml:space="preserve">Připojení domácností na centrální zdroj vody je dostatečné (viz ). V některých případech se může řešit individuální připojování na veřejný vodovod. </w:t>
      </w:r>
      <w:r w:rsidR="007920F8">
        <w:t>Objekty nepřipojené na vodovod slouží buď rekreačním účelům nebo vyu</w:t>
      </w:r>
      <w:r w:rsidR="001105A4">
        <w:t>žívají individuální zdroje vody, kde jsou kontroly kvality vody řešeny rovněž individuálně.</w:t>
      </w:r>
    </w:p>
    <w:p w:rsidR="001105A4" w:rsidRPr="00A2013E" w:rsidRDefault="001105A4" w:rsidP="00C01C0D">
      <w:r>
        <w:t>V některých obcích se již objevuje potřeba oprav a rekonstrukcí dříve budovaných vodovodních řadů.</w:t>
      </w:r>
    </w:p>
    <w:p w:rsidR="00F54AC0" w:rsidRDefault="00F54AC0" w:rsidP="00C01C0D">
      <w:pPr>
        <w:rPr>
          <w:b/>
        </w:rPr>
      </w:pPr>
      <w:r>
        <w:rPr>
          <w:b/>
        </w:rPr>
        <w:t>Kanalizace a čističky odpadních vod</w:t>
      </w:r>
    </w:p>
    <w:p w:rsidR="00A2013E" w:rsidRDefault="00C9716C" w:rsidP="00C01C0D">
      <w:r>
        <w:t xml:space="preserve">Úroveň připojení kanalizací v regionu je relativně nízká. Vyšší saturaci mají pouze města Litomyšl a Vysoké </w:t>
      </w:r>
      <w:r w:rsidR="009E1742">
        <w:t>Mý</w:t>
      </w:r>
      <w:r>
        <w:t>to (téměř 80 %) a obec Bučina, která je odkanalizována z 92 %. Pokud je v obci vybudována kanalizace, jsou odpadní vody zpracovávány v čističkách odpadních vod.</w:t>
      </w:r>
    </w:p>
    <w:p w:rsidR="00C9716C" w:rsidRDefault="00C9716C" w:rsidP="00C01C0D">
      <w:r>
        <w:t>V regionu stále zůstává nadpoloviční většina obcí bez kanalizace a bez čističky odpadních vod.</w:t>
      </w:r>
    </w:p>
    <w:p w:rsidR="00C9716C" w:rsidRDefault="002258B4" w:rsidP="00C01C0D">
      <w:r>
        <w:t>Také ve městech a obcích s kanalizací, zůstává řada domácností nepřipojených. Děje se tak z nepřiměřeně vysokých nákladů na přípojku (např. vzhledem k vzdálenosti, nepříznivým geologickým a terénním podmínkám).</w:t>
      </w:r>
    </w:p>
    <w:p w:rsidR="002258B4" w:rsidRDefault="002258B4" w:rsidP="00C01C0D">
      <w:r>
        <w:t>Některé neodkanalizované domácnosti využívají individuálních čističek odpadních vod, ale drtivá většina takových domácností využívá jímek a individuálního odvozu odpadních vod k ekologické likvidaci. Ne vždy je ale postupováno v souladu s předpisy, což představuje zátěž pro životní prostředí.</w:t>
      </w:r>
    </w:p>
    <w:p w:rsidR="00FD7DDD" w:rsidRPr="00A2013E" w:rsidRDefault="00FD7DDD" w:rsidP="00C01C0D">
      <w:r>
        <w:t xml:space="preserve">Obce bez kanalizace zpravidla nedisponují dostatečnými finančními prostředky k jejímu vybudování nebo spolufinancování v případě využití dotační podpory. Často jsou také řešeny </w:t>
      </w:r>
      <w:r>
        <w:lastRenderedPageBreak/>
        <w:t>spory s občany, kteří se obávají zadlužení obce a vysokých provozních nákladů systému a s tím souvisejících cen stočného.</w:t>
      </w:r>
    </w:p>
    <w:p w:rsidR="00F54AC0" w:rsidRDefault="00F54AC0" w:rsidP="00C01C0D">
      <w:pPr>
        <w:rPr>
          <w:b/>
        </w:rPr>
      </w:pPr>
      <w:r>
        <w:rPr>
          <w:b/>
        </w:rPr>
        <w:t>Plynovody</w:t>
      </w:r>
    </w:p>
    <w:p w:rsidR="00F54AC0" w:rsidRDefault="00A2013E" w:rsidP="00C01C0D">
      <w:r>
        <w:t>Jak je patrné z tabulky (viz výše), úroveň plynofikace je přímo úměrná velikosti obce/města. Řada obcí není plynofikována vůbec. Domácnosti bez plynové přípojky jsou vytápěny většinou individuálním tepelným zdrojem na tuhá paliva, což nepříznivě ovlivňuje životní prostředí.</w:t>
      </w:r>
      <w:r w:rsidR="001105A4">
        <w:t xml:space="preserve"> Navíc řada individuálních zdrojů tepla je zastaralá a představuje tak zvýšenou ekologickou zátěž ve srovnání se současnými technologiemi.</w:t>
      </w:r>
    </w:p>
    <w:p w:rsidR="007D3FD6" w:rsidRPr="007D3FD6" w:rsidRDefault="007D3FD6" w:rsidP="00C01C0D">
      <w:pPr>
        <w:rPr>
          <w:b/>
        </w:rPr>
      </w:pPr>
      <w:r w:rsidRPr="007D3FD6">
        <w:rPr>
          <w:b/>
        </w:rPr>
        <w:t>Veřejné osvětlení</w:t>
      </w:r>
    </w:p>
    <w:p w:rsidR="007D3FD6" w:rsidRDefault="007D3FD6" w:rsidP="00C01C0D">
      <w:r>
        <w:t>V regionu se stále vyskytují obce, kde není vybudované veřejné osvětlení nebo není dobudované do všech částí obcí. V řadě obcí osvětlení již zastarává je nutná jeho obnova</w:t>
      </w:r>
    </w:p>
    <w:p w:rsidR="007D3FD6" w:rsidRPr="007D3FD6" w:rsidRDefault="007D3FD6" w:rsidP="00C01C0D">
      <w:pPr>
        <w:rPr>
          <w:b/>
        </w:rPr>
      </w:pPr>
      <w:r w:rsidRPr="007D3FD6">
        <w:rPr>
          <w:b/>
        </w:rPr>
        <w:t>Obecní rozhlas</w:t>
      </w:r>
    </w:p>
    <w:p w:rsidR="007D3FD6" w:rsidRPr="00A2013E" w:rsidRDefault="004158EC" w:rsidP="00C01C0D">
      <w:r>
        <w:t xml:space="preserve">Obecní rozhlas má k dispozici většina obcí, přičemž jeho stáří je různé. Některé obce využily v nedávné době dotačních titulů k vybudování nových obecních rozhlasů mnohdy bezdrátových a s domovními přijímači (cca 1/3 obcí). </w:t>
      </w:r>
      <w:r w:rsidR="009E1742">
        <w:t>ř</w:t>
      </w:r>
      <w:r>
        <w:t>ada obcí má ale k dispozici obecní rozhlas vyžadující rekonstrukci a obnovu. Dle dotazníkového šetření bylo zjištěno, že cca ¼ obcí nemá k dispozici obecní rozhlas vůbec.</w:t>
      </w:r>
    </w:p>
    <w:p w:rsidR="00D25D0C" w:rsidRPr="00D25D0C" w:rsidRDefault="00D25D0C" w:rsidP="00D25D0C">
      <w:pPr>
        <w:pStyle w:val="Nadpis4"/>
      </w:pPr>
      <w:r w:rsidRPr="00D25D0C">
        <w:t>Komunikace</w:t>
      </w:r>
    </w:p>
    <w:p w:rsidR="00623D5C" w:rsidRDefault="0087010F" w:rsidP="00D972B2">
      <w:r w:rsidRPr="00A97555">
        <w:t xml:space="preserve">Tato část strategického dokumentu se věnuje komunikacím v rámci obcí. Komunikace meziobecní popisuje podrobně kapitola </w:t>
      </w:r>
      <w:r w:rsidR="00A97555" w:rsidRPr="00A97555">
        <w:t>2</w:t>
      </w:r>
      <w:r w:rsidR="00623D5C" w:rsidRPr="00A97555">
        <w:t>.1.3.2. Dopravní infrastruktura.</w:t>
      </w:r>
      <w:r w:rsidR="00623D5C">
        <w:t xml:space="preserve"> </w:t>
      </w:r>
    </w:p>
    <w:p w:rsidR="00623D5C" w:rsidRDefault="00623D5C" w:rsidP="00623D5C">
      <w:pPr>
        <w:pStyle w:val="Nadpis5"/>
      </w:pPr>
      <w:r>
        <w:t>Parkování</w:t>
      </w:r>
    </w:p>
    <w:p w:rsidR="000D343B" w:rsidRPr="000D343B" w:rsidRDefault="000D343B" w:rsidP="000D343B">
      <w:r>
        <w:t>Vzhledem k povaze regionu (nízké hustotě zalidnění) obecně platí,</w:t>
      </w:r>
      <w:r w:rsidR="002836ED">
        <w:t xml:space="preserve"> že potíže s parkováním </w:t>
      </w:r>
      <w:r w:rsidR="008A5FAB">
        <w:t xml:space="preserve">mimo Litomyšl a Vysoké mýto </w:t>
      </w:r>
      <w:r w:rsidR="002836ED">
        <w:t>nejsou a místa pro parkování je vzhledem k počtu obyvatel dostatek. Vysoké Mýto a Litomyšl s</w:t>
      </w:r>
      <w:r w:rsidR="008A5FAB">
        <w:t>e s problémem parkování potýkají, a to zejména v klasických dopravních špičkách</w:t>
      </w:r>
      <w:r w:rsidR="002836ED">
        <w:t>.</w:t>
      </w:r>
    </w:p>
    <w:p w:rsidR="00623D5C" w:rsidRDefault="00623D5C" w:rsidP="00623D5C">
      <w:pPr>
        <w:pStyle w:val="Nadpis5"/>
      </w:pPr>
      <w:r>
        <w:t>Stezky a vyhrazené pruhy</w:t>
      </w:r>
    </w:p>
    <w:p w:rsidR="00BF2870" w:rsidRPr="00BF2870" w:rsidRDefault="002836ED" w:rsidP="00BF2870">
      <w:r>
        <w:t xml:space="preserve">Vyhrazené pruhy pro pěší nebo cyklisty v regionu nejsou, a to ani ve větších městech. Existuje řada cyklostezek, které ale neslouží k dopravě uvnitř měst a obcí a bude se jim tedy </w:t>
      </w:r>
      <w:r>
        <w:lastRenderedPageBreak/>
        <w:t xml:space="preserve">věnovat další </w:t>
      </w:r>
      <w:r w:rsidRPr="00A97555">
        <w:t>text tohoto strategického dokumentu</w:t>
      </w:r>
      <w:r w:rsidR="00350687" w:rsidRPr="00A97555">
        <w:t xml:space="preserve"> (kapitoly </w:t>
      </w:r>
      <w:r w:rsidR="00A97555" w:rsidRPr="00A97555">
        <w:t>2</w:t>
      </w:r>
      <w:r w:rsidR="00350687" w:rsidRPr="00A97555">
        <w:t xml:space="preserve">.1.3.2. Dopravní infrastruktura nebo 2.1.12 </w:t>
      </w:r>
      <w:r w:rsidR="00A97555" w:rsidRPr="00A97555">
        <w:t>Turistický</w:t>
      </w:r>
      <w:r w:rsidR="00350687" w:rsidRPr="00A97555">
        <w:t xml:space="preserve"> ruch)</w:t>
      </w:r>
      <w:r w:rsidRPr="00A97555">
        <w:t>.</w:t>
      </w:r>
    </w:p>
    <w:p w:rsidR="00623D5C" w:rsidRDefault="00CC2225" w:rsidP="00623D5C">
      <w:pPr>
        <w:pStyle w:val="Nadpis5"/>
      </w:pPr>
      <w:r>
        <w:t xml:space="preserve">Veřejná prostranství a </w:t>
      </w:r>
      <w:r w:rsidR="003E143D">
        <w:t>komunikace v obcích</w:t>
      </w:r>
    </w:p>
    <w:p w:rsidR="00C36E13" w:rsidRDefault="004034E5" w:rsidP="00D972B2">
      <w:r w:rsidRPr="00C36E13">
        <w:t>Veřejná prostranství</w:t>
      </w:r>
      <w:r w:rsidR="00C36E13" w:rsidRPr="00C36E13">
        <w:t>, komunikace</w:t>
      </w:r>
      <w:r w:rsidRPr="00C36E13">
        <w:t xml:space="preserve"> a chodníky, které jsou jejich součástí </w:t>
      </w:r>
      <w:r w:rsidR="00C36E13">
        <w:t>jsou</w:t>
      </w:r>
      <w:r w:rsidR="009E1742">
        <w:t>,</w:t>
      </w:r>
      <w:r w:rsidR="00C36E13">
        <w:t xml:space="preserve"> nejen prostředkem dopravy, ale také společenským a estetickým prvkem a také prvkem, který rozhoduje o bez/bariérovosti prostor v obcích.</w:t>
      </w:r>
    </w:p>
    <w:p w:rsidR="0087010F" w:rsidRDefault="00CC2225" w:rsidP="0028397B">
      <w:r w:rsidRPr="0028397B">
        <w:t xml:space="preserve">Budování </w:t>
      </w:r>
      <w:r w:rsidR="0028397B" w:rsidRPr="0028397B">
        <w:t>komunikací a chodníků v obcích</w:t>
      </w:r>
      <w:r w:rsidRPr="0028397B">
        <w:t xml:space="preserve"> </w:t>
      </w:r>
      <w:r w:rsidR="0028397B" w:rsidRPr="0028397B">
        <w:t>jsou jak podle názorů zástupců obcí, tak podle názorů občanů</w:t>
      </w:r>
      <w:r w:rsidRPr="0028397B">
        <w:t xml:space="preserve"> </w:t>
      </w:r>
      <w:r w:rsidR="0028397B" w:rsidRPr="0028397B">
        <w:t>hlavními prioritami</w:t>
      </w:r>
      <w:r w:rsidR="0028397B">
        <w:t>. Rovněž veřejná prostranství byla jak zástupci obcí, tak i občany hodnocena jako oblast, kterou by bylo třeba zlepšit.</w:t>
      </w:r>
      <w:r w:rsidRPr="0028397B">
        <w:t xml:space="preserve">(viz </w:t>
      </w:r>
      <w:r w:rsidR="0028397B" w:rsidRPr="0028397B">
        <w:t>2.1.4.3 Shrnutí informací o občanské vybavenosti a službách</w:t>
      </w:r>
      <w:r w:rsidRPr="0028397B">
        <w:t>).</w:t>
      </w:r>
      <w:r w:rsidR="0028397B">
        <w:t xml:space="preserve"> Velký prostor ke zlepšení zmíněných oblastí znázorňují také níže zobrazené grafy prezentující názory aktérů zjištěné dotazníkovým šetřením.</w:t>
      </w:r>
    </w:p>
    <w:p w:rsidR="00072A68" w:rsidRDefault="00D972B2" w:rsidP="00D972B2">
      <w:pPr>
        <w:rPr>
          <w:highlight w:val="red"/>
        </w:rPr>
      </w:pPr>
      <w:r w:rsidRPr="00D972B2">
        <w:rPr>
          <w:noProof/>
          <w:lang w:eastAsia="cs-CZ"/>
        </w:rPr>
        <w:drawing>
          <wp:inline distT="0" distB="0" distL="0" distR="0">
            <wp:extent cx="2847975" cy="1666875"/>
            <wp:effectExtent l="19050" t="0" r="9525" b="0"/>
            <wp:docPr id="26"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72A68" w:rsidRPr="00072A68">
        <w:rPr>
          <w:noProof/>
          <w:lang w:eastAsia="cs-CZ"/>
        </w:rPr>
        <w:drawing>
          <wp:inline distT="0" distB="0" distL="0" distR="0">
            <wp:extent cx="2847975" cy="1666875"/>
            <wp:effectExtent l="19050" t="0" r="9525" b="0"/>
            <wp:docPr id="49"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6B61" w:rsidRPr="00A97555" w:rsidRDefault="00CC2225" w:rsidP="00D972B2">
      <w:r w:rsidRPr="00A97555">
        <w:t xml:space="preserve">Pohled </w:t>
      </w:r>
      <w:r w:rsidR="00A97555" w:rsidRPr="00A97555">
        <w:t>zástupců obcí</w:t>
      </w:r>
      <w:r w:rsidRPr="00A97555">
        <w:t xml:space="preserve"> vlevo, obyvatel vpravo</w:t>
      </w:r>
    </w:p>
    <w:p w:rsidR="006279B4" w:rsidRDefault="006279B4" w:rsidP="006279B4">
      <w:pPr>
        <w:pStyle w:val="Nadpis4"/>
      </w:pPr>
      <w:r w:rsidRPr="006279B4">
        <w:t>Shrnutí informací o technické infrastruktuře</w:t>
      </w:r>
    </w:p>
    <w:tbl>
      <w:tblPr>
        <w:tblStyle w:val="Mkatabulky"/>
        <w:tblW w:w="0" w:type="auto"/>
        <w:tblLook w:val="04A0"/>
      </w:tblPr>
      <w:tblGrid>
        <w:gridCol w:w="4606"/>
        <w:gridCol w:w="4606"/>
      </w:tblGrid>
      <w:tr w:rsidR="006279B4" w:rsidTr="006279B4">
        <w:trPr>
          <w:cantSplit/>
        </w:trPr>
        <w:tc>
          <w:tcPr>
            <w:tcW w:w="4606" w:type="dxa"/>
            <w:shd w:val="clear" w:color="auto" w:fill="D6E3BC" w:themeFill="accent3" w:themeFillTint="66"/>
          </w:tcPr>
          <w:p w:rsidR="006279B4" w:rsidRPr="000F7E1C" w:rsidRDefault="006279B4" w:rsidP="006279B4">
            <w:pPr>
              <w:rPr>
                <w:b/>
              </w:rPr>
            </w:pPr>
            <w:r w:rsidRPr="000F7E1C">
              <w:rPr>
                <w:b/>
              </w:rPr>
              <w:t>S „Silné stránky“</w:t>
            </w:r>
          </w:p>
        </w:tc>
        <w:tc>
          <w:tcPr>
            <w:tcW w:w="4606" w:type="dxa"/>
            <w:shd w:val="clear" w:color="auto" w:fill="FBD4B4" w:themeFill="accent6" w:themeFillTint="66"/>
          </w:tcPr>
          <w:p w:rsidR="006279B4" w:rsidRPr="000F7E1C" w:rsidRDefault="006279B4" w:rsidP="006279B4">
            <w:pPr>
              <w:rPr>
                <w:b/>
              </w:rPr>
            </w:pPr>
            <w:r w:rsidRPr="000F7E1C">
              <w:rPr>
                <w:b/>
              </w:rPr>
              <w:t>W „Slabé stránky“</w:t>
            </w:r>
          </w:p>
        </w:tc>
      </w:tr>
      <w:tr w:rsidR="006279B4" w:rsidTr="006279B4">
        <w:trPr>
          <w:cantSplit/>
          <w:trHeight w:val="2309"/>
        </w:trPr>
        <w:tc>
          <w:tcPr>
            <w:tcW w:w="4606" w:type="dxa"/>
            <w:shd w:val="clear" w:color="auto" w:fill="EAF1DD" w:themeFill="accent3" w:themeFillTint="33"/>
          </w:tcPr>
          <w:p w:rsidR="006279B4" w:rsidRDefault="00C36E13" w:rsidP="00A60AC9">
            <w:pPr>
              <w:pStyle w:val="Odstavecseseznamem"/>
              <w:numPr>
                <w:ilvl w:val="0"/>
                <w:numId w:val="26"/>
              </w:numPr>
            </w:pPr>
            <w:r>
              <w:t>Vysoký podíl připojených na vodovod</w:t>
            </w:r>
            <w:r w:rsidR="0014292F">
              <w:t>, uspokojivá úroveň a stav elektrifikace.</w:t>
            </w:r>
          </w:p>
          <w:p w:rsidR="006279B4" w:rsidRDefault="006279B4" w:rsidP="006279B4"/>
        </w:tc>
        <w:tc>
          <w:tcPr>
            <w:tcW w:w="4606" w:type="dxa"/>
            <w:shd w:val="clear" w:color="auto" w:fill="FDE9D9" w:themeFill="accent6" w:themeFillTint="33"/>
          </w:tcPr>
          <w:p w:rsidR="006279B4" w:rsidRDefault="0028397B" w:rsidP="00A60AC9">
            <w:pPr>
              <w:pStyle w:val="Odstavecseseznamem"/>
              <w:numPr>
                <w:ilvl w:val="0"/>
                <w:numId w:val="25"/>
              </w:numPr>
            </w:pPr>
            <w:r>
              <w:t>Nízká úroveň plynofikace a odkanalizování v malých obcích.</w:t>
            </w:r>
          </w:p>
          <w:p w:rsidR="0028397B" w:rsidRDefault="0028397B" w:rsidP="00A60AC9">
            <w:pPr>
              <w:pStyle w:val="Odstavecseseznamem"/>
              <w:numPr>
                <w:ilvl w:val="0"/>
                <w:numId w:val="25"/>
              </w:numPr>
            </w:pPr>
            <w:r>
              <w:t>Neexistence nebo špatný stav chodníků a komunikací v obcích.</w:t>
            </w:r>
          </w:p>
          <w:p w:rsidR="0014292F" w:rsidRDefault="0014292F" w:rsidP="00A60AC9">
            <w:pPr>
              <w:pStyle w:val="Odstavecseseznamem"/>
              <w:numPr>
                <w:ilvl w:val="0"/>
                <w:numId w:val="25"/>
              </w:numPr>
            </w:pPr>
            <w:r>
              <w:t>Bariéry pohybu postižených osob v obcích.</w:t>
            </w:r>
          </w:p>
        </w:tc>
      </w:tr>
      <w:tr w:rsidR="006279B4" w:rsidTr="006279B4">
        <w:trPr>
          <w:cantSplit/>
        </w:trPr>
        <w:tc>
          <w:tcPr>
            <w:tcW w:w="4606" w:type="dxa"/>
            <w:shd w:val="clear" w:color="auto" w:fill="B8CCE4" w:themeFill="accent1" w:themeFillTint="66"/>
          </w:tcPr>
          <w:p w:rsidR="006279B4" w:rsidRPr="000F7E1C" w:rsidRDefault="006279B4" w:rsidP="006279B4">
            <w:pPr>
              <w:rPr>
                <w:b/>
              </w:rPr>
            </w:pPr>
            <w:r w:rsidRPr="000F7E1C">
              <w:rPr>
                <w:b/>
              </w:rPr>
              <w:lastRenderedPageBreak/>
              <w:t>O „Příležitosti“</w:t>
            </w:r>
          </w:p>
        </w:tc>
        <w:tc>
          <w:tcPr>
            <w:tcW w:w="4606" w:type="dxa"/>
            <w:shd w:val="clear" w:color="auto" w:fill="E5B8B7" w:themeFill="accent2" w:themeFillTint="66"/>
          </w:tcPr>
          <w:p w:rsidR="006279B4" w:rsidRPr="000F7E1C" w:rsidRDefault="006279B4" w:rsidP="006279B4">
            <w:pPr>
              <w:rPr>
                <w:b/>
              </w:rPr>
            </w:pPr>
            <w:r w:rsidRPr="000F7E1C">
              <w:rPr>
                <w:b/>
              </w:rPr>
              <w:t>T „Hrozby“</w:t>
            </w:r>
          </w:p>
        </w:tc>
      </w:tr>
      <w:tr w:rsidR="006279B4" w:rsidTr="006279B4">
        <w:trPr>
          <w:cantSplit/>
          <w:trHeight w:val="2829"/>
        </w:trPr>
        <w:tc>
          <w:tcPr>
            <w:tcW w:w="4606" w:type="dxa"/>
            <w:shd w:val="clear" w:color="auto" w:fill="DBE5F1" w:themeFill="accent1" w:themeFillTint="33"/>
          </w:tcPr>
          <w:p w:rsidR="006279B4" w:rsidRDefault="0014292F" w:rsidP="00A60AC9">
            <w:pPr>
              <w:pStyle w:val="Odstavecseseznamem"/>
              <w:numPr>
                <w:ilvl w:val="0"/>
                <w:numId w:val="27"/>
              </w:numPr>
            </w:pPr>
            <w:r>
              <w:t>Případné dotační prostředky na eliminaci slabých stránek a hrozeb.</w:t>
            </w:r>
          </w:p>
          <w:p w:rsidR="00616F5D" w:rsidRDefault="00616F5D" w:rsidP="00A60AC9">
            <w:pPr>
              <w:pStyle w:val="Odstavecseseznamem"/>
              <w:numPr>
                <w:ilvl w:val="0"/>
                <w:numId w:val="27"/>
              </w:numPr>
            </w:pPr>
            <w:r>
              <w:t>Využití OZE k energetickým účelům.</w:t>
            </w:r>
          </w:p>
          <w:p w:rsidR="00616F5D" w:rsidRDefault="00616F5D" w:rsidP="00A60AC9">
            <w:pPr>
              <w:pStyle w:val="Odstavecseseznamem"/>
              <w:numPr>
                <w:ilvl w:val="0"/>
                <w:numId w:val="27"/>
              </w:numPr>
            </w:pPr>
            <w:r>
              <w:t>Podpora inovací a alternativ pro individuální i skupinové potřeby.</w:t>
            </w:r>
          </w:p>
          <w:p w:rsidR="00616F5D" w:rsidRDefault="00616F5D" w:rsidP="00A60AC9">
            <w:pPr>
              <w:pStyle w:val="Odstavecseseznamem"/>
              <w:numPr>
                <w:ilvl w:val="0"/>
                <w:numId w:val="27"/>
              </w:numPr>
            </w:pPr>
            <w:r>
              <w:t>Zlepšení prostranství a cest vede k lepší komunikaci a pospolitosti obyvatel.</w:t>
            </w:r>
          </w:p>
        </w:tc>
        <w:tc>
          <w:tcPr>
            <w:tcW w:w="4606" w:type="dxa"/>
            <w:shd w:val="clear" w:color="auto" w:fill="F2DBDB" w:themeFill="accent2" w:themeFillTint="33"/>
          </w:tcPr>
          <w:p w:rsidR="006279B4" w:rsidRDefault="00C36E13" w:rsidP="00A60AC9">
            <w:pPr>
              <w:pStyle w:val="Odstavecseseznamem"/>
              <w:numPr>
                <w:ilvl w:val="0"/>
                <w:numId w:val="27"/>
              </w:numPr>
            </w:pPr>
            <w:r>
              <w:t>Potencionální potíže plynoucí z nízké úrovně plynofikace a odkanalizování obcí.</w:t>
            </w:r>
          </w:p>
          <w:p w:rsidR="00616F5D" w:rsidRDefault="00616F5D" w:rsidP="00A60AC9">
            <w:pPr>
              <w:pStyle w:val="Odstavecseseznamem"/>
              <w:numPr>
                <w:ilvl w:val="0"/>
                <w:numId w:val="27"/>
              </w:numPr>
            </w:pPr>
            <w:r>
              <w:t>Pro starší se obce stanou nepochůzné.</w:t>
            </w:r>
          </w:p>
          <w:p w:rsidR="00616F5D" w:rsidRDefault="00616F5D" w:rsidP="00A60AC9">
            <w:pPr>
              <w:pStyle w:val="Odstavecseseznamem"/>
              <w:numPr>
                <w:ilvl w:val="0"/>
                <w:numId w:val="27"/>
              </w:numPr>
            </w:pPr>
            <w:r>
              <w:t>Horší se pocit bezpečnos</w:t>
            </w:r>
            <w:r w:rsidR="00A97555">
              <w:t>t</w:t>
            </w:r>
            <w:r>
              <w:t>i obyvatel a návštěvníků v obcích s horšími komunikacemi a prostranstvími.</w:t>
            </w:r>
          </w:p>
        </w:tc>
      </w:tr>
    </w:tbl>
    <w:p w:rsidR="006279B4" w:rsidRDefault="006279B4" w:rsidP="006279B4"/>
    <w:p w:rsidR="006279B4" w:rsidRDefault="0014292F" w:rsidP="0014292F">
      <w:r>
        <w:t xml:space="preserve">Veškeré slabé stránky a hrozby týkající se technické infrastruktury jsou řešitelné investicemi do dané oblasti, a to v některých případech finančně velmi nákladnými. </w:t>
      </w:r>
    </w:p>
    <w:p w:rsidR="006279B4" w:rsidRDefault="0014292F" w:rsidP="00A60AC9">
      <w:pPr>
        <w:pStyle w:val="Odstavecseseznamem"/>
        <w:numPr>
          <w:ilvl w:val="0"/>
          <w:numId w:val="38"/>
        </w:numPr>
      </w:pPr>
      <w:r>
        <w:t>U malých projektů rekonstrukcí, dobudování infrastruktury, veřejných prostranství apod. se předpokládá možné využití dotačních prostředků distribuovaných na základě LEADER. V tomto má MAS velké zkušenosti.</w:t>
      </w:r>
    </w:p>
    <w:p w:rsidR="0014292F" w:rsidRPr="006279B4" w:rsidRDefault="0014292F" w:rsidP="00A60AC9">
      <w:pPr>
        <w:pStyle w:val="Odstavecseseznamem"/>
        <w:numPr>
          <w:ilvl w:val="0"/>
          <w:numId w:val="38"/>
        </w:numPr>
      </w:pPr>
      <w:r>
        <w:t>Nákladnější projekty celých řešení např. odkanalizování, plynofikace apod. jsou řešitelné výhradně s přímou podporou dotačními prostředky mimo LEADER. V mnoha obcích však nebude možné ani toto, protože není v jejich silách z obecního rozpočtu ani spolufinancování dotační investice.</w:t>
      </w:r>
    </w:p>
    <w:p w:rsidR="00120802" w:rsidRDefault="00120802" w:rsidP="009F4D7F">
      <w:pPr>
        <w:pStyle w:val="Nadpis3"/>
      </w:pPr>
      <w:bookmarkStart w:id="24" w:name="_Toc430006498"/>
      <w:r>
        <w:t>Doprava</w:t>
      </w:r>
      <w:bookmarkEnd w:id="24"/>
    </w:p>
    <w:p w:rsidR="00C167AA" w:rsidRPr="00C167AA" w:rsidRDefault="00C167AA" w:rsidP="00C167AA">
      <w:pPr>
        <w:pStyle w:val="Nadpis4"/>
      </w:pPr>
      <w:r>
        <w:t>Dopravní obslužnost</w:t>
      </w:r>
    </w:p>
    <w:p w:rsidR="0005666D" w:rsidRDefault="0005666D" w:rsidP="00872574">
      <w:r w:rsidRPr="0005666D">
        <w:t xml:space="preserve">Města jako Vysoké Mýto, Litomyšl nebo Proseč nemají potíže s dopravní obslužností a vzhledem k jejich </w:t>
      </w:r>
      <w:r w:rsidR="00F7146C">
        <w:t>relativnímu významu v regionu se</w:t>
      </w:r>
      <w:r w:rsidRPr="0005666D">
        <w:t xml:space="preserve"> potíže ani neoč</w:t>
      </w:r>
      <w:r w:rsidR="00A87C89">
        <w:t>e</w:t>
      </w:r>
      <w:r w:rsidRPr="0005666D">
        <w:t>kávají. Proto je zde primárně řešena dopravní obslužnost menších obcí.</w:t>
      </w:r>
    </w:p>
    <w:p w:rsidR="00A17B10" w:rsidRDefault="00A17B10" w:rsidP="00872574">
      <w:r>
        <w:t>Region je závislý na silniční dopravě, protože na železniční síť je napojena jen malá skupinka obcí (viz níže)</w:t>
      </w:r>
      <w:r w:rsidR="00555AE6">
        <w:t>.</w:t>
      </w:r>
    </w:p>
    <w:p w:rsidR="00555AE6" w:rsidRDefault="00555AE6" w:rsidP="00872574">
      <w:r>
        <w:lastRenderedPageBreak/>
        <w:t>V Pardubickém a Krá</w:t>
      </w:r>
      <w:r w:rsidR="00A87C89">
        <w:t>l</w:t>
      </w:r>
      <w:r>
        <w:t>ovéhradeckém kraji funguje integrovaný regionální dop</w:t>
      </w:r>
      <w:r w:rsidR="001742AF">
        <w:t>r</w:t>
      </w:r>
      <w:r>
        <w:t>avní systém, který umožňuje při zakoupení jízdenky u jednoho dopravce také přestupy a cestování spoji jiných dopravců, a to i při přestup</w:t>
      </w:r>
      <w:r w:rsidR="003B6AE0">
        <w:t>ech autobus/železnice a naopak.</w:t>
      </w:r>
    </w:p>
    <w:p w:rsidR="003B6AE0" w:rsidRDefault="003B6AE0" w:rsidP="00872574">
      <w:r>
        <w:t>Vysokou závislost občanů na dopravní obsluze demonstruje níže zobrazená tabulka, která znázorňuje, kolik procent osob (ze všech obyvatel) obcí denně dojíždí za zaměstnáním nebo vzděláním. Nutno podotknout, že uvedené poměry vycházejí z celkového počtu obyvatel (včetně malých dětí, pečujících maminek, důchodců...) a tedy poměr vztažený k produktivnímu a studijnímu věku by byl podstatně vyšší.</w:t>
      </w:r>
    </w:p>
    <w:p w:rsidR="00E030A7" w:rsidRDefault="00E030A7" w:rsidP="00872574">
      <w:r>
        <w:t>Pokud základnu obyvatel pro výpočet očistíme o děti do 5 let a o osoby nad 60 let, dosa</w:t>
      </w:r>
      <w:r w:rsidR="00A87C89">
        <w:t>h</w:t>
      </w:r>
      <w:r>
        <w:t>uje poměr dojíždějících osob cca 41 %, a to stále v základně zůstávají započítány 6-ti leté děti a pečující maminky další skupiny osob (zdravotně postižení...), pro které je dojíždění nerelevantní.</w:t>
      </w:r>
    </w:p>
    <w:tbl>
      <w:tblPr>
        <w:tblW w:w="6819" w:type="dxa"/>
        <w:tblInd w:w="55" w:type="dxa"/>
        <w:tblLayout w:type="fixed"/>
        <w:tblCellMar>
          <w:left w:w="70" w:type="dxa"/>
          <w:right w:w="70" w:type="dxa"/>
        </w:tblCellMar>
        <w:tblLook w:val="04A0"/>
      </w:tblPr>
      <w:tblGrid>
        <w:gridCol w:w="2142"/>
        <w:gridCol w:w="1275"/>
        <w:gridCol w:w="2127"/>
        <w:gridCol w:w="1275"/>
      </w:tblGrid>
      <w:tr w:rsidR="003B6AE0" w:rsidRPr="003B6AE0" w:rsidTr="0035075B">
        <w:trPr>
          <w:trHeight w:val="720"/>
        </w:trPr>
        <w:tc>
          <w:tcPr>
            <w:tcW w:w="2142" w:type="dxa"/>
            <w:tcBorders>
              <w:top w:val="nil"/>
              <w:left w:val="single" w:sz="4" w:space="0" w:color="auto"/>
              <w:bottom w:val="nil"/>
              <w:right w:val="nil"/>
            </w:tcBorders>
            <w:shd w:val="clear" w:color="000000" w:fill="17375D"/>
            <w:vAlign w:val="center"/>
            <w:hideMark/>
          </w:tcPr>
          <w:p w:rsidR="003B6AE0" w:rsidRPr="003B6AE0" w:rsidRDefault="003B6AE0" w:rsidP="0035075B">
            <w:pPr>
              <w:suppressAutoHyphens w:val="0"/>
              <w:spacing w:after="0"/>
              <w:jc w:val="center"/>
              <w:rPr>
                <w:rFonts w:ascii="Arial" w:hAnsi="Arial" w:cs="Arial"/>
                <w:b/>
                <w:bCs/>
                <w:color w:val="FFFFFF"/>
                <w:sz w:val="18"/>
                <w:szCs w:val="18"/>
                <w:lang w:eastAsia="cs-CZ"/>
              </w:rPr>
            </w:pPr>
            <w:r w:rsidRPr="003B6AE0">
              <w:rPr>
                <w:rFonts w:ascii="Arial" w:hAnsi="Arial" w:cs="Arial"/>
                <w:b/>
                <w:bCs/>
                <w:color w:val="FFFFFF"/>
                <w:sz w:val="18"/>
                <w:szCs w:val="18"/>
                <w:lang w:eastAsia="cs-CZ"/>
              </w:rPr>
              <w:t>Obec</w:t>
            </w:r>
          </w:p>
        </w:tc>
        <w:tc>
          <w:tcPr>
            <w:tcW w:w="1275" w:type="dxa"/>
            <w:tcBorders>
              <w:top w:val="nil"/>
              <w:left w:val="single" w:sz="4" w:space="0" w:color="auto"/>
              <w:bottom w:val="nil"/>
              <w:right w:val="nil"/>
            </w:tcBorders>
            <w:shd w:val="clear" w:color="000000" w:fill="17375D"/>
            <w:vAlign w:val="center"/>
            <w:hideMark/>
          </w:tcPr>
          <w:p w:rsidR="003B6AE0" w:rsidRPr="003B6AE0" w:rsidRDefault="003B6AE0" w:rsidP="0035075B">
            <w:pPr>
              <w:suppressAutoHyphens w:val="0"/>
              <w:spacing w:after="0"/>
              <w:jc w:val="center"/>
              <w:rPr>
                <w:rFonts w:ascii="Arial" w:hAnsi="Arial" w:cs="Arial"/>
                <w:b/>
                <w:bCs/>
                <w:color w:val="FFFFFF"/>
                <w:sz w:val="18"/>
                <w:szCs w:val="18"/>
                <w:lang w:eastAsia="cs-CZ"/>
              </w:rPr>
            </w:pPr>
            <w:r w:rsidRPr="003B6AE0">
              <w:rPr>
                <w:rFonts w:ascii="Arial" w:hAnsi="Arial" w:cs="Arial"/>
                <w:b/>
                <w:bCs/>
                <w:color w:val="FFFFFF"/>
                <w:sz w:val="18"/>
                <w:szCs w:val="18"/>
                <w:lang w:eastAsia="cs-CZ"/>
              </w:rPr>
              <w:t>Poměr dojiždějících osob</w:t>
            </w:r>
          </w:p>
        </w:tc>
        <w:tc>
          <w:tcPr>
            <w:tcW w:w="2127" w:type="dxa"/>
            <w:tcBorders>
              <w:top w:val="nil"/>
              <w:left w:val="single" w:sz="4" w:space="0" w:color="auto"/>
              <w:bottom w:val="nil"/>
              <w:right w:val="nil"/>
            </w:tcBorders>
            <w:shd w:val="clear" w:color="000000" w:fill="17375D"/>
            <w:vAlign w:val="center"/>
            <w:hideMark/>
          </w:tcPr>
          <w:p w:rsidR="003B6AE0" w:rsidRPr="003B6AE0" w:rsidRDefault="003B6AE0" w:rsidP="0035075B">
            <w:pPr>
              <w:suppressAutoHyphens w:val="0"/>
              <w:spacing w:after="0"/>
              <w:jc w:val="center"/>
              <w:rPr>
                <w:rFonts w:ascii="Arial" w:hAnsi="Arial" w:cs="Arial"/>
                <w:b/>
                <w:bCs/>
                <w:color w:val="FFFFFF"/>
                <w:sz w:val="18"/>
                <w:szCs w:val="18"/>
                <w:lang w:eastAsia="cs-CZ"/>
              </w:rPr>
            </w:pPr>
            <w:r w:rsidRPr="003B6AE0">
              <w:rPr>
                <w:rFonts w:ascii="Arial" w:hAnsi="Arial" w:cs="Arial"/>
                <w:b/>
                <w:bCs/>
                <w:color w:val="FFFFFF"/>
                <w:sz w:val="18"/>
                <w:szCs w:val="18"/>
                <w:lang w:eastAsia="cs-CZ"/>
              </w:rPr>
              <w:t>Obec</w:t>
            </w:r>
          </w:p>
        </w:tc>
        <w:tc>
          <w:tcPr>
            <w:tcW w:w="1275" w:type="dxa"/>
            <w:tcBorders>
              <w:top w:val="nil"/>
              <w:left w:val="single" w:sz="4" w:space="0" w:color="auto"/>
              <w:bottom w:val="nil"/>
              <w:right w:val="nil"/>
            </w:tcBorders>
            <w:shd w:val="clear" w:color="000000" w:fill="17375D"/>
            <w:vAlign w:val="center"/>
            <w:hideMark/>
          </w:tcPr>
          <w:p w:rsidR="003B6AE0" w:rsidRPr="003B6AE0" w:rsidRDefault="003B6AE0" w:rsidP="0035075B">
            <w:pPr>
              <w:suppressAutoHyphens w:val="0"/>
              <w:spacing w:after="0"/>
              <w:jc w:val="center"/>
              <w:rPr>
                <w:rFonts w:ascii="Arial" w:hAnsi="Arial" w:cs="Arial"/>
                <w:b/>
                <w:bCs/>
                <w:color w:val="FFFFFF"/>
                <w:sz w:val="18"/>
                <w:szCs w:val="18"/>
                <w:lang w:eastAsia="cs-CZ"/>
              </w:rPr>
            </w:pPr>
            <w:r w:rsidRPr="003B6AE0">
              <w:rPr>
                <w:rFonts w:ascii="Arial" w:hAnsi="Arial" w:cs="Arial"/>
                <w:b/>
                <w:bCs/>
                <w:color w:val="FFFFFF"/>
                <w:sz w:val="18"/>
                <w:szCs w:val="18"/>
                <w:lang w:eastAsia="cs-CZ"/>
              </w:rPr>
              <w:t>Poměr dojiždějících osob</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Benátky</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38,9%</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Nová Sídla</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32,6%</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Bohuňovice</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34,5%</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Nová Ves u Jarošova</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36,1%</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Bor u Skutče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26,4%</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Nové Hrady</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25,7%</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Bučina</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28,8%</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Osík</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28,0%</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Budislav</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27,4%</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Otradov</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24,1%</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Cerekvice nad Loučnou</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26,6%</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Perálec</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26,5%</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České Heřmanice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26,1%</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Poříčí u Litomyšle</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33,3%</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Čistá</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27,5%</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Proseč</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15,3%</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Desná</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30,3%</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Příluka</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26,8%</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Dolní Újezd</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28,1%</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Pustina</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13,9%</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Hluboká</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14,4%</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Řídký</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30,7%</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Horky</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38,9%</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Sebranice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32,2%</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Horní Újezd</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29,2%</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Sedliště</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37,2%</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Hrušová</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25,5%</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Sloupnice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20,9%</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Chmelík</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47,4%</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Strakov</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28,5%</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Chotěnov</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31,1%</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Suchá Lhota</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59,5%</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Chotovice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24,1%</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Tisová</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23,8%</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Janov</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38,1%</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Trstěnice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30,5%</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Jarošov</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32,7%</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Tržek</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38,4%</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Javorník</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28,3%</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Újezdec</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30,8%</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Leština</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21,7%</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Vidlatá Seč</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35,5%</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Libecina</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14,0%</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Vlčkov</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38,8%</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Litomyšl</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13,2%</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Vračovice-Orlov</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27,5%</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Lubná</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37,4%</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Vysoké Mýto</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9,9%</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Makov</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40,8%</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Zádolí</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23,1%</w:t>
            </w:r>
          </w:p>
        </w:tc>
      </w:tr>
      <w:tr w:rsidR="003B6AE0" w:rsidRPr="003B6AE0" w:rsidTr="0035075B">
        <w:trPr>
          <w:trHeight w:val="240"/>
        </w:trPr>
        <w:tc>
          <w:tcPr>
            <w:tcW w:w="2142"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Morašice</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31,8%</w:t>
            </w:r>
          </w:p>
        </w:tc>
        <w:tc>
          <w:tcPr>
            <w:tcW w:w="2127"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Zálší</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25,5%</w:t>
            </w:r>
          </w:p>
        </w:tc>
      </w:tr>
      <w:tr w:rsidR="003B6AE0" w:rsidRPr="003B6AE0" w:rsidTr="0035075B">
        <w:trPr>
          <w:trHeight w:val="240"/>
        </w:trPr>
        <w:tc>
          <w:tcPr>
            <w:tcW w:w="2142" w:type="dxa"/>
            <w:tcBorders>
              <w:top w:val="nil"/>
              <w:left w:val="nil"/>
              <w:bottom w:val="nil"/>
              <w:right w:val="nil"/>
            </w:tcBorders>
            <w:shd w:val="clear" w:color="000000" w:fill="8DB4E3"/>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Němčice</w:t>
            </w:r>
          </w:p>
        </w:tc>
        <w:tc>
          <w:tcPr>
            <w:tcW w:w="1275" w:type="dxa"/>
            <w:tcBorders>
              <w:top w:val="nil"/>
              <w:left w:val="nil"/>
              <w:bottom w:val="nil"/>
              <w:right w:val="nil"/>
            </w:tcBorders>
            <w:shd w:val="clear" w:color="000000" w:fill="8DB4E3"/>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27,1%</w:t>
            </w:r>
          </w:p>
        </w:tc>
        <w:tc>
          <w:tcPr>
            <w:tcW w:w="2127" w:type="dxa"/>
            <w:tcBorders>
              <w:top w:val="nil"/>
              <w:left w:val="nil"/>
              <w:bottom w:val="nil"/>
              <w:right w:val="nil"/>
            </w:tcBorders>
            <w:shd w:val="clear" w:color="000000" w:fill="DBE5F1"/>
            <w:noWrap/>
            <w:hideMark/>
          </w:tcPr>
          <w:p w:rsidR="003B6AE0" w:rsidRPr="003B6AE0" w:rsidRDefault="003B6AE0" w:rsidP="0035075B">
            <w:pPr>
              <w:suppressAutoHyphens w:val="0"/>
              <w:spacing w:after="0"/>
              <w:jc w:val="left"/>
              <w:rPr>
                <w:rFonts w:ascii="Arial" w:hAnsi="Arial" w:cs="Arial"/>
                <w:sz w:val="18"/>
                <w:szCs w:val="18"/>
                <w:lang w:eastAsia="cs-CZ"/>
              </w:rPr>
            </w:pPr>
            <w:r w:rsidRPr="003B6AE0">
              <w:rPr>
                <w:rFonts w:ascii="Arial" w:hAnsi="Arial" w:cs="Arial"/>
                <w:sz w:val="18"/>
                <w:szCs w:val="18"/>
                <w:lang w:eastAsia="cs-CZ"/>
              </w:rPr>
              <w:t>Zderaz</w:t>
            </w:r>
          </w:p>
        </w:tc>
        <w:tc>
          <w:tcPr>
            <w:tcW w:w="1275" w:type="dxa"/>
            <w:tcBorders>
              <w:top w:val="nil"/>
              <w:left w:val="nil"/>
              <w:bottom w:val="nil"/>
              <w:right w:val="nil"/>
            </w:tcBorders>
            <w:shd w:val="clear" w:color="000000" w:fill="DBE5F1"/>
            <w:noWrap/>
            <w:vAlign w:val="bottom"/>
            <w:hideMark/>
          </w:tcPr>
          <w:p w:rsidR="003B6AE0" w:rsidRPr="003B6AE0" w:rsidRDefault="003B6AE0" w:rsidP="0035075B">
            <w:pPr>
              <w:suppressAutoHyphens w:val="0"/>
              <w:spacing w:after="0"/>
              <w:jc w:val="right"/>
              <w:rPr>
                <w:rFonts w:ascii="Calibri" w:hAnsi="Calibri" w:cs="Calibri"/>
                <w:color w:val="000000"/>
                <w:sz w:val="18"/>
                <w:szCs w:val="18"/>
                <w:lang w:eastAsia="cs-CZ"/>
              </w:rPr>
            </w:pPr>
            <w:r w:rsidRPr="003B6AE0">
              <w:rPr>
                <w:rFonts w:ascii="Calibri" w:hAnsi="Calibri" w:cs="Calibri"/>
                <w:color w:val="000000"/>
                <w:sz w:val="18"/>
                <w:szCs w:val="18"/>
                <w:lang w:eastAsia="cs-CZ"/>
              </w:rPr>
              <w:t>26,1%</w:t>
            </w:r>
          </w:p>
        </w:tc>
      </w:tr>
    </w:tbl>
    <w:p w:rsidR="003B6AE0" w:rsidRDefault="009C68C5" w:rsidP="00872574">
      <w:r>
        <w:t>Zdroj: ČSÚ, SLDB</w:t>
      </w:r>
      <w:r w:rsidR="008071F5">
        <w:t xml:space="preserve"> (sčítání lidu, domů a bytů)</w:t>
      </w:r>
      <w:r>
        <w:t xml:space="preserve"> 2011</w:t>
      </w:r>
    </w:p>
    <w:p w:rsidR="00A17B10" w:rsidRDefault="00A17B10" w:rsidP="00A17B10">
      <w:pPr>
        <w:pStyle w:val="Nadpis5"/>
      </w:pPr>
      <w:r>
        <w:lastRenderedPageBreak/>
        <w:t>Autobusová doprava</w:t>
      </w:r>
    </w:p>
    <w:p w:rsidR="00E15EEE" w:rsidRDefault="001742AF" w:rsidP="00E15EEE">
      <w:r>
        <w:t>Region MAS je silně závislý na autobusové dopravě</w:t>
      </w:r>
      <w:r w:rsidR="002C288E">
        <w:t xml:space="preserve"> provozované soukromými společnostmi</w:t>
      </w:r>
      <w:r>
        <w:t>, protože železnice do regionu zasahuje jen okrajově. Přitom cestování za prací, vzděláním, zbožím, službami apod. je vzhledem k jejich absenci v malých obcích (kterých je v regionu většina) nezbytné.</w:t>
      </w:r>
    </w:p>
    <w:p w:rsidR="001742AF" w:rsidRPr="00E15EEE" w:rsidRDefault="001742AF" w:rsidP="00E15EEE">
      <w:r>
        <w:t>Samotná úroveň obslužnosti obcí autobusy se v regionu velmi liší. Níže zobrazená tabulka ukazuje počty autobusových spojů, které průměrně projedou obcemi v pracovní den (v obou směrech).</w:t>
      </w:r>
      <w:r w:rsidR="002C288E">
        <w:t xml:space="preserve"> Města Vysoké Mýto,</w:t>
      </w:r>
      <w:r w:rsidR="00C41755">
        <w:t xml:space="preserve"> Litomyšl</w:t>
      </w:r>
      <w:r w:rsidR="002C288E">
        <w:t xml:space="preserve"> a Proseč</w:t>
      </w:r>
      <w:r w:rsidR="00C41755">
        <w:t xml:space="preserve"> zde řešeny nejsou, protože jejich dopravní obslužnost je dostatečná. Podobně jsou na tom také některé větší obce a obce, které jsou na hlavních trasách autobusových linek (byť jsou některé velmi malé).</w:t>
      </w:r>
    </w:p>
    <w:tbl>
      <w:tblPr>
        <w:tblW w:w="8097" w:type="dxa"/>
        <w:tblInd w:w="53" w:type="dxa"/>
        <w:tblCellMar>
          <w:left w:w="70" w:type="dxa"/>
          <w:right w:w="70" w:type="dxa"/>
        </w:tblCellMar>
        <w:tblLook w:val="04A0"/>
      </w:tblPr>
      <w:tblGrid>
        <w:gridCol w:w="1718"/>
        <w:gridCol w:w="2410"/>
        <w:gridCol w:w="1559"/>
        <w:gridCol w:w="2410"/>
      </w:tblGrid>
      <w:tr w:rsidR="0005666D" w:rsidRPr="0005666D" w:rsidTr="0005666D">
        <w:trPr>
          <w:trHeight w:val="300"/>
        </w:trPr>
        <w:tc>
          <w:tcPr>
            <w:tcW w:w="1718" w:type="dxa"/>
            <w:tcBorders>
              <w:top w:val="nil"/>
              <w:left w:val="nil"/>
              <w:bottom w:val="nil"/>
              <w:right w:val="nil"/>
            </w:tcBorders>
            <w:shd w:val="clear" w:color="000000" w:fill="17375D"/>
            <w:noWrap/>
            <w:vAlign w:val="bottom"/>
            <w:hideMark/>
          </w:tcPr>
          <w:p w:rsidR="0005666D" w:rsidRPr="0005666D" w:rsidRDefault="0005666D" w:rsidP="0005666D">
            <w:pPr>
              <w:suppressAutoHyphens w:val="0"/>
              <w:spacing w:after="0"/>
              <w:jc w:val="left"/>
              <w:rPr>
                <w:rFonts w:ascii="Calibri" w:hAnsi="Calibri" w:cs="Calibri"/>
                <w:b/>
                <w:bCs/>
                <w:color w:val="FFFFFF"/>
                <w:sz w:val="16"/>
                <w:szCs w:val="16"/>
                <w:lang w:eastAsia="cs-CZ"/>
              </w:rPr>
            </w:pPr>
            <w:r w:rsidRPr="0005666D">
              <w:rPr>
                <w:rFonts w:ascii="Calibri" w:hAnsi="Calibri" w:cs="Calibri"/>
                <w:b/>
                <w:bCs/>
                <w:color w:val="FFFFFF"/>
                <w:sz w:val="16"/>
                <w:szCs w:val="16"/>
                <w:lang w:eastAsia="cs-CZ"/>
              </w:rPr>
              <w:t>Název obce</w:t>
            </w:r>
          </w:p>
        </w:tc>
        <w:tc>
          <w:tcPr>
            <w:tcW w:w="2410" w:type="dxa"/>
            <w:tcBorders>
              <w:top w:val="nil"/>
              <w:left w:val="nil"/>
              <w:bottom w:val="nil"/>
              <w:right w:val="nil"/>
            </w:tcBorders>
            <w:shd w:val="clear" w:color="000000" w:fill="17375D"/>
            <w:noWrap/>
            <w:vAlign w:val="bottom"/>
            <w:hideMark/>
          </w:tcPr>
          <w:p w:rsidR="0005666D" w:rsidRPr="0005666D" w:rsidRDefault="0005666D" w:rsidP="0005666D">
            <w:pPr>
              <w:suppressAutoHyphens w:val="0"/>
              <w:spacing w:after="0"/>
              <w:jc w:val="left"/>
              <w:rPr>
                <w:rFonts w:ascii="Calibri" w:hAnsi="Calibri" w:cs="Calibri"/>
                <w:b/>
                <w:bCs/>
                <w:color w:val="FFFFFF"/>
                <w:sz w:val="16"/>
                <w:szCs w:val="16"/>
                <w:lang w:eastAsia="cs-CZ"/>
              </w:rPr>
            </w:pPr>
            <w:r w:rsidRPr="0005666D">
              <w:rPr>
                <w:rFonts w:ascii="Calibri" w:hAnsi="Calibri" w:cs="Calibri"/>
                <w:b/>
                <w:bCs/>
                <w:color w:val="FFFFFF"/>
                <w:sz w:val="16"/>
                <w:szCs w:val="16"/>
                <w:lang w:eastAsia="cs-CZ"/>
              </w:rPr>
              <w:t>Počet autobusových spojů za den</w:t>
            </w:r>
          </w:p>
        </w:tc>
        <w:tc>
          <w:tcPr>
            <w:tcW w:w="1559" w:type="dxa"/>
            <w:tcBorders>
              <w:top w:val="nil"/>
              <w:left w:val="nil"/>
              <w:bottom w:val="nil"/>
              <w:right w:val="nil"/>
            </w:tcBorders>
            <w:shd w:val="clear" w:color="000000" w:fill="17375D"/>
            <w:noWrap/>
            <w:vAlign w:val="bottom"/>
            <w:hideMark/>
          </w:tcPr>
          <w:p w:rsidR="0005666D" w:rsidRPr="0005666D" w:rsidRDefault="0005666D" w:rsidP="0005666D">
            <w:pPr>
              <w:suppressAutoHyphens w:val="0"/>
              <w:spacing w:after="0"/>
              <w:jc w:val="left"/>
              <w:rPr>
                <w:rFonts w:ascii="Calibri" w:hAnsi="Calibri" w:cs="Calibri"/>
                <w:b/>
                <w:bCs/>
                <w:color w:val="FFFFFF"/>
                <w:sz w:val="16"/>
                <w:szCs w:val="16"/>
                <w:lang w:eastAsia="cs-CZ"/>
              </w:rPr>
            </w:pPr>
            <w:r w:rsidRPr="0005666D">
              <w:rPr>
                <w:rFonts w:ascii="Calibri" w:hAnsi="Calibri" w:cs="Calibri"/>
                <w:b/>
                <w:bCs/>
                <w:color w:val="FFFFFF"/>
                <w:sz w:val="16"/>
                <w:szCs w:val="16"/>
                <w:lang w:eastAsia="cs-CZ"/>
              </w:rPr>
              <w:t>Název obce</w:t>
            </w:r>
          </w:p>
        </w:tc>
        <w:tc>
          <w:tcPr>
            <w:tcW w:w="2410" w:type="dxa"/>
            <w:tcBorders>
              <w:top w:val="nil"/>
              <w:left w:val="nil"/>
              <w:bottom w:val="nil"/>
              <w:right w:val="nil"/>
            </w:tcBorders>
            <w:shd w:val="clear" w:color="000000" w:fill="17375D"/>
            <w:noWrap/>
            <w:vAlign w:val="bottom"/>
            <w:hideMark/>
          </w:tcPr>
          <w:p w:rsidR="0005666D" w:rsidRPr="0005666D" w:rsidRDefault="0005666D" w:rsidP="0005666D">
            <w:pPr>
              <w:suppressAutoHyphens w:val="0"/>
              <w:spacing w:after="0"/>
              <w:jc w:val="left"/>
              <w:rPr>
                <w:rFonts w:ascii="Calibri" w:hAnsi="Calibri" w:cs="Calibri"/>
                <w:b/>
                <w:bCs/>
                <w:color w:val="FFFFFF"/>
                <w:sz w:val="16"/>
                <w:szCs w:val="16"/>
                <w:lang w:eastAsia="cs-CZ"/>
              </w:rPr>
            </w:pPr>
            <w:r w:rsidRPr="0005666D">
              <w:rPr>
                <w:rFonts w:ascii="Calibri" w:hAnsi="Calibri" w:cs="Calibri"/>
                <w:b/>
                <w:bCs/>
                <w:color w:val="FFFFFF"/>
                <w:sz w:val="16"/>
                <w:szCs w:val="16"/>
                <w:lang w:eastAsia="cs-CZ"/>
              </w:rPr>
              <w:t>Počet autobusových spojů za den</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Benátky</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25</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Nová Sídla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Bohuňovice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24</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Nová Ves u Jarošova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Bor u Skutče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15</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Nové Hrady</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52</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Bučina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Osík</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24</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Budislav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40</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Otradov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26</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Cerekvice nad Loučnou</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52</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Perálec</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32</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České Heřmanice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42</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Poříčí u Litomyšle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23</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Čistá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31</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Proseč</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N/A</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Desná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29</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Příluka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27</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Dolní Újezd</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101</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Pustina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9</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Hluboká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9</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Řídký</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22</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Horky</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Sebranice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26</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Horní Újezd</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Sedliště</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23</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Hrušová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42</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Sloupnice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50</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Chmelík</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26</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Strakov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27</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Chotěnov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Suchá Lhota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17</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Chotovice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23</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Tisová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20</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Janov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34</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Trstěnice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27</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Javorník</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32</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Tržek</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18</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Jarošov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Újezdec</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Leština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23</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Vidlatá Seč</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16</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Libecina</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20</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Vlčkov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7</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Litomyšl</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N/A</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Vračovice-Orlov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30</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Lubná</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44</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Zádolí-Střihanov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14</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Makov</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19</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Zálší</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30</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Morašice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25</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Zderaz</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28</w:t>
            </w:r>
          </w:p>
        </w:tc>
      </w:tr>
      <w:tr w:rsidR="0005666D" w:rsidRPr="0005666D" w:rsidTr="0005666D">
        <w:trPr>
          <w:trHeight w:val="300"/>
        </w:trPr>
        <w:tc>
          <w:tcPr>
            <w:tcW w:w="1718"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Němčice</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51</w:t>
            </w:r>
          </w:p>
        </w:tc>
        <w:tc>
          <w:tcPr>
            <w:tcW w:w="1559" w:type="dxa"/>
            <w:tcBorders>
              <w:top w:val="nil"/>
              <w:left w:val="nil"/>
              <w:bottom w:val="nil"/>
              <w:right w:val="nil"/>
            </w:tcBorders>
            <w:shd w:val="clear" w:color="000000" w:fill="8DB4E3"/>
            <w:noWrap/>
            <w:vAlign w:val="bottom"/>
            <w:hideMark/>
          </w:tcPr>
          <w:p w:rsidR="0005666D" w:rsidRPr="0005666D" w:rsidRDefault="0005666D" w:rsidP="0005666D">
            <w:pPr>
              <w:suppressAutoHyphens w:val="0"/>
              <w:spacing w:after="0"/>
              <w:jc w:val="left"/>
              <w:rPr>
                <w:rFonts w:ascii="Calibri" w:hAnsi="Calibri" w:cs="Calibri"/>
                <w:color w:val="000000"/>
                <w:sz w:val="16"/>
                <w:szCs w:val="16"/>
                <w:lang w:eastAsia="cs-CZ"/>
              </w:rPr>
            </w:pPr>
            <w:r w:rsidRPr="0005666D">
              <w:rPr>
                <w:rFonts w:ascii="Calibri" w:hAnsi="Calibri" w:cs="Calibri"/>
                <w:color w:val="000000"/>
                <w:sz w:val="16"/>
                <w:szCs w:val="16"/>
                <w:lang w:eastAsia="cs-CZ"/>
              </w:rPr>
              <w:t>Vysoké Mýto</w:t>
            </w:r>
          </w:p>
        </w:tc>
        <w:tc>
          <w:tcPr>
            <w:tcW w:w="2410" w:type="dxa"/>
            <w:tcBorders>
              <w:top w:val="nil"/>
              <w:left w:val="nil"/>
              <w:bottom w:val="nil"/>
              <w:right w:val="nil"/>
            </w:tcBorders>
            <w:shd w:val="clear" w:color="000000" w:fill="DBE5F1"/>
            <w:noWrap/>
            <w:vAlign w:val="bottom"/>
            <w:hideMark/>
          </w:tcPr>
          <w:p w:rsidR="0005666D" w:rsidRPr="0005666D" w:rsidRDefault="0005666D" w:rsidP="0005666D">
            <w:pPr>
              <w:suppressAutoHyphens w:val="0"/>
              <w:spacing w:after="0"/>
              <w:jc w:val="center"/>
              <w:rPr>
                <w:rFonts w:ascii="Calibri" w:hAnsi="Calibri" w:cs="Calibri"/>
                <w:color w:val="000000"/>
                <w:sz w:val="16"/>
                <w:szCs w:val="16"/>
                <w:lang w:eastAsia="cs-CZ"/>
              </w:rPr>
            </w:pPr>
            <w:r w:rsidRPr="0005666D">
              <w:rPr>
                <w:rFonts w:ascii="Calibri" w:hAnsi="Calibri" w:cs="Calibri"/>
                <w:color w:val="000000"/>
                <w:sz w:val="16"/>
                <w:szCs w:val="16"/>
                <w:lang w:eastAsia="cs-CZ"/>
              </w:rPr>
              <w:t>N/A</w:t>
            </w:r>
          </w:p>
        </w:tc>
      </w:tr>
    </w:tbl>
    <w:p w:rsidR="0005666D" w:rsidRPr="00A97555" w:rsidRDefault="009C68C5" w:rsidP="00872574">
      <w:r w:rsidRPr="00A97555">
        <w:lastRenderedPageBreak/>
        <w:t xml:space="preserve">Zdroj: </w:t>
      </w:r>
      <w:hyperlink r:id="rId20" w:history="1">
        <w:r w:rsidR="00A97555" w:rsidRPr="00A97555">
          <w:rPr>
            <w:rStyle w:val="Hypertextovodkaz"/>
            <w:color w:val="auto"/>
          </w:rPr>
          <w:t>www.idos.cz</w:t>
        </w:r>
      </w:hyperlink>
      <w:r w:rsidR="00A97555">
        <w:t xml:space="preserve"> (pozn.: počty spojů jsou průměrné ve všední den, v různých dnech se po</w:t>
      </w:r>
      <w:r w:rsidR="00EA5F74">
        <w:t>č</w:t>
      </w:r>
      <w:r w:rsidR="00A97555">
        <w:t>et spojů liší)</w:t>
      </w:r>
    </w:p>
    <w:p w:rsidR="006B3631" w:rsidRPr="006B3631" w:rsidRDefault="006B3631" w:rsidP="00872574">
      <w:r w:rsidRPr="006B3631">
        <w:t>Nutno podotknout, že autobusová doprava je silně dotována obcemi i krajem, ale i za této situace jsou některé spoje na hranici návratnosti a jsou tak v ohrožení.</w:t>
      </w:r>
    </w:p>
    <w:p w:rsidR="0097741D" w:rsidRPr="0097741D" w:rsidRDefault="00A17B10" w:rsidP="00A17B10">
      <w:pPr>
        <w:pStyle w:val="Nadpis5"/>
      </w:pPr>
      <w:r>
        <w:t>Vlaková doprava</w:t>
      </w:r>
    </w:p>
    <w:p w:rsidR="0097741D" w:rsidRDefault="0097741D" w:rsidP="00872574">
      <w:r>
        <w:t>Většina regionu je bez vlakového spojení. Do regionu zasahuje pouze železnice od Chocně přes Vysoké Mýto do Litomyšle (terminální stanice). Tato trať může obsloužit města a obce: Vysoké Mýto, Džbánov (není součástí území MAS), Hrušová, Cerekvice nad Loučnou, Řídký, Tržek a Litomyšl včetně některých místních částí.</w:t>
      </w:r>
    </w:p>
    <w:p w:rsidR="00623D5C" w:rsidRDefault="00623D5C" w:rsidP="00623D5C">
      <w:pPr>
        <w:pStyle w:val="Nadpis5"/>
      </w:pPr>
      <w:r>
        <w:t>Bezmotorová doprava</w:t>
      </w:r>
    </w:p>
    <w:p w:rsidR="00623D5C" w:rsidRDefault="00D04CEC" w:rsidP="00623D5C">
      <w:r>
        <w:t>Region je protkán sítí cyklostezek, kterých je co do počtu 24 a co do své délky měří několik set kilometrů. Problémem může být, že většina jejich délky vede po silnicích sdílených s dalšími formami dopravy. Naštěstí jde o silnice nižších tříd s relativně nižším provozem.</w:t>
      </w:r>
    </w:p>
    <w:p w:rsidR="00D04CEC" w:rsidRDefault="00D04CEC" w:rsidP="00623D5C">
      <w:r>
        <w:t>Přesto je v regionu poptávka po budování cyklostezek, které by umožnili rozšíření cestovního ruchu z jeho hlavních center do širokého regionu.</w:t>
      </w:r>
    </w:p>
    <w:p w:rsidR="00D04CEC" w:rsidRPr="00623D5C" w:rsidRDefault="00D04CEC" w:rsidP="00623D5C">
      <w:r>
        <w:t>Dále byla zaznamenána velká poptávka po cyklostezkách užitkových a nikoli turistických. Ty by měly spojovat zejména obce, mezi kterými pravidelně cestují například děti do svých škol nebo zaměstnanci za prací. Vybudování takových tras by přispělo ke zvýšení pružnosti dopravy, bezpečnosti osob a snížilo by závislost na veřejné dopravě.</w:t>
      </w:r>
    </w:p>
    <w:p w:rsidR="00A17B10" w:rsidRDefault="00A17B10" w:rsidP="00A17B10">
      <w:pPr>
        <w:pStyle w:val="Nadpis5"/>
      </w:pPr>
      <w:r>
        <w:t>Jiné formy dopravy</w:t>
      </w:r>
    </w:p>
    <w:p w:rsidR="00A17B10" w:rsidRDefault="00A17B10" w:rsidP="00A17B10">
      <w:r>
        <w:t>Ve městech Vysoké mýto a Litomyšl funguje městská hromadná doprava, která zajišťuje část obslužnosti také pro okolní obce.</w:t>
      </w:r>
    </w:p>
    <w:p w:rsidR="00A17B10" w:rsidRDefault="00A17B10" w:rsidP="00A17B10">
      <w:r>
        <w:t>Ve městě Vysoké mýto dlouhodobě provozuje na svém území specifický druh přepravy určený pro seniory a osoby se sníženou mobilitou (tzv. „seniordoprava“). Provoz je zajišťován červeným křížem s podporou města. Tato forma dopravy je velmi oblíbená a bude podporováno její rozšíření na další území regionu.</w:t>
      </w:r>
    </w:p>
    <w:p w:rsidR="00A17B10" w:rsidRPr="00A17B10" w:rsidRDefault="00A17B10" w:rsidP="00A17B10">
      <w:r>
        <w:t>Dále jsou k dispozici pro individuální přepravu služby soukromých taxislužeb.</w:t>
      </w:r>
    </w:p>
    <w:p w:rsidR="00A17B10" w:rsidRDefault="00A17B10" w:rsidP="00A17B10">
      <w:pPr>
        <w:pStyle w:val="Nadpis5"/>
      </w:pPr>
      <w:r>
        <w:lastRenderedPageBreak/>
        <w:t>Dopravní obslužnost obecně</w:t>
      </w:r>
    </w:p>
    <w:p w:rsidR="00B97EA9" w:rsidRDefault="00B97EA9" w:rsidP="00B97EA9">
      <w:r>
        <w:t>Dopravní obslužnost je v regionu klíčovým faktorem, protože vzhledem k velikosti většiny obcí jsou obyvatelé nuceni cestovat za zbožím nebo službami, zdravotnictvím, úřad apod. do měst. Řada obyvatel by bez dostatečné dopravní obslužnosti nebyla schopná cestovat ani za zaměstnáním nebo do škol.</w:t>
      </w:r>
    </w:p>
    <w:p w:rsidR="00B97EA9" w:rsidRPr="00B97EA9" w:rsidRDefault="00B97EA9" w:rsidP="00B97EA9">
      <w:r>
        <w:t>Z níže zobrazených grafů je patrný jistý prostor ke zlepšení, a to zejména u respondentů z řad občanů, kteří hodnotí dopravní obslužnost negativně nebo spíše negativně v 35 % případů (zatímco tento názor sdílí jen 16 % zástupců obcí).</w:t>
      </w:r>
    </w:p>
    <w:p w:rsidR="00C167AA" w:rsidRDefault="00C167AA" w:rsidP="00872574">
      <w:pPr>
        <w:rPr>
          <w:highlight w:val="red"/>
        </w:rPr>
      </w:pPr>
      <w:r w:rsidRPr="00C167AA">
        <w:rPr>
          <w:noProof/>
          <w:lang w:eastAsia="cs-CZ"/>
        </w:rPr>
        <w:drawing>
          <wp:inline distT="0" distB="0" distL="0" distR="0">
            <wp:extent cx="2841109" cy="1967024"/>
            <wp:effectExtent l="19050" t="0" r="16391" b="0"/>
            <wp:docPr id="4"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167AA">
        <w:rPr>
          <w:noProof/>
          <w:lang w:eastAsia="cs-CZ"/>
        </w:rPr>
        <w:drawing>
          <wp:inline distT="0" distB="0" distL="0" distR="0">
            <wp:extent cx="2846499" cy="1967023"/>
            <wp:effectExtent l="19050" t="0" r="11001" b="0"/>
            <wp:docPr id="7"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67AA" w:rsidRPr="00A97555" w:rsidRDefault="00C167AA" w:rsidP="00872574">
      <w:r w:rsidRPr="00A97555">
        <w:t xml:space="preserve">Pohled </w:t>
      </w:r>
      <w:r w:rsidR="00A97555" w:rsidRPr="00A97555">
        <w:t>zástupců obcí</w:t>
      </w:r>
      <w:r w:rsidRPr="00A97555">
        <w:t xml:space="preserve"> vlevo, pohled občanů vpravo</w:t>
      </w:r>
    </w:p>
    <w:p w:rsidR="00C167AA" w:rsidRPr="00006EBF" w:rsidRDefault="00006EBF" w:rsidP="00872574">
      <w:r>
        <w:t>Z regionální poptávky vyplý</w:t>
      </w:r>
      <w:r w:rsidRPr="00006EBF">
        <w:t>vá rovněž potřeba dobudování, dovybavení nebo rekonstrukcí autobusových zastávek, které ne vždy jsou zastřešené, ale také relativně často potřebují rekonstrukce a revitalizace (mimo jiné z důvodu opotřebení, zastarání nebo vandalizmu).</w:t>
      </w:r>
    </w:p>
    <w:p w:rsidR="00C167AA" w:rsidRPr="00C167AA" w:rsidRDefault="00C167AA" w:rsidP="00C167AA">
      <w:pPr>
        <w:pStyle w:val="Nadpis4"/>
      </w:pPr>
      <w:r>
        <w:t>Dopravní i</w:t>
      </w:r>
      <w:r w:rsidRPr="00C167AA">
        <w:t>nfrastruktura</w:t>
      </w:r>
    </w:p>
    <w:p w:rsidR="00EA5D8B" w:rsidRDefault="00FC5BA0" w:rsidP="00872574">
      <w:r>
        <w:t>Tato část se věnuje nezbytnému předpokladu pro jakoukoli formu dopravy, kterým je dopravní infrastruktura.</w:t>
      </w:r>
    </w:p>
    <w:p w:rsidR="00FC5BA0" w:rsidRDefault="00FC5BA0" w:rsidP="00872574">
      <w:r>
        <w:t xml:space="preserve">Páteřní komunikací protínající region, a která má zásadní význam také pro celorepublikovou i mezinárodní dopravu je rychlostní silnice R35. Tato komunikace protíná celý region MAS, a to od </w:t>
      </w:r>
      <w:r w:rsidR="00B941F5">
        <w:t>Nejsevernějšího města (Vysoké Mýto), až po obec Janov, kde komunikace pokračuje dále. V celkovém měřítku představuje R35 severní alternativu dálnici D1, tedy propojení Čech a Moravy. Hlavní trasa vede mezi městy Hradec Králové a Olomouc, ale mimo jiné v těchto městech má návaznost na další klíčové komunikace včetně mezinárodní sítě silnic.</w:t>
      </w:r>
    </w:p>
    <w:p w:rsidR="00B941F5" w:rsidRDefault="00B941F5" w:rsidP="00872574">
      <w:r>
        <w:lastRenderedPageBreak/>
        <w:t>Dalšími významnými komunikacemi jsou silnice číslo 358  vedoucí z České Třebové, přes Litomyšl do Skutče a silnice číslo 360 z Ústí nad Orlicí do Poličky.</w:t>
      </w:r>
      <w:r w:rsidR="006B3631">
        <w:t xml:space="preserve"> Alternativní trasou propojující Litomyšl a Proseč (dále až Skuteč) je komunikace 359, která dopravně obsluhuje jižnější obce.</w:t>
      </w:r>
    </w:p>
    <w:p w:rsidR="006B3631" w:rsidRDefault="006B3631" w:rsidP="00872574">
      <w:r>
        <w:t>Všechny zmíněné komunikace procházejí dopravním uzlem, kterým je město Litomyšl., kde je tímto vlivem často velmi hustá doprava.</w:t>
      </w:r>
    </w:p>
    <w:p w:rsidR="006B3631" w:rsidRDefault="006B3631" w:rsidP="00872574">
      <w:r>
        <w:t>V severní části regionu je klíčovým uzlem město Vysoké Mýto, kde se kříží rychlostní silnice R35 a komunikace číslo 357 vedoucí z Chocně.</w:t>
      </w:r>
    </w:p>
    <w:p w:rsidR="00FC5BA0" w:rsidRDefault="005F06EB" w:rsidP="005F06EB">
      <w:pPr>
        <w:pStyle w:val="Nadpis5"/>
      </w:pPr>
      <w:r>
        <w:t>Plánované projekty dopravní infrastruktury</w:t>
      </w:r>
    </w:p>
    <w:p w:rsidR="00E96CFA" w:rsidRDefault="005F06EB" w:rsidP="005F06EB">
      <w:r>
        <w:t>Nejvýznamnějším počinem v této oblasti je plánovaná rekonstrukce rychlostní silnice R35 včetně vybudování obchvatů měst Vysoké Mýto a Litomyšl.</w:t>
      </w:r>
      <w:r w:rsidR="00194FDC">
        <w:t xml:space="preserve"> </w:t>
      </w:r>
    </w:p>
    <w:p w:rsidR="007A2972" w:rsidRDefault="00194FDC" w:rsidP="005F06EB">
      <w:r>
        <w:t>Projekt by měl být realizován během let 20</w:t>
      </w:r>
      <w:r w:rsidR="007A2972">
        <w:t>17 až 2021</w:t>
      </w:r>
      <w:r>
        <w:t>.</w:t>
      </w:r>
      <w:r w:rsidR="00E96CFA">
        <w:rPr>
          <w:rStyle w:val="Znakapoznpodarou"/>
        </w:rPr>
        <w:footnoteReference w:id="11"/>
      </w:r>
    </w:p>
    <w:p w:rsidR="00194FDC" w:rsidRDefault="00194FDC" w:rsidP="005F06EB">
      <w:r>
        <w:t>Podobu rekonstrukce dojde k přetnutí některých tras křížících R35, čímž dojde ke komplikacím dopravě, prodloužení dojezdových vzdáleností a časů i k omezení dopravní obslužnosti. Po dobu rekonstrukce dojde také k dočasnému zatížení okolí stavby, a to zejména hlukem, prašností apod.</w:t>
      </w:r>
    </w:p>
    <w:p w:rsidR="00194FDC" w:rsidRDefault="00194FDC" w:rsidP="005F06EB">
      <w:r>
        <w:t>V této souvislosti dojde také ke změnám v navazující silniční síti. Realizace projektu bude také mít vliv na další život v dotčených obcích, a to zejména v oblasti dopravní obslužnosti, ale také ke změnám poptávky</w:t>
      </w:r>
      <w:r w:rsidR="00B17AE0">
        <w:t xml:space="preserve"> po zboží a službách plynoucí ze změn toků dopravy a tedy kupní síly. Nejvíce tuto skutečnost pocítí subjekty na dopravu přímo navázané (motoresty, čerpací stanice...). Na druhou stranu dojde k přesunu poptávky spojené s dopravou do nových míst.</w:t>
      </w:r>
    </w:p>
    <w:p w:rsidR="005F06EB" w:rsidRDefault="00B17AE0" w:rsidP="005F06EB">
      <w:r>
        <w:t xml:space="preserve">V době vzniku této strategie je projekt stále ještě ve fázi </w:t>
      </w:r>
      <w:r w:rsidR="007A2972">
        <w:t>p</w:t>
      </w:r>
      <w:r>
        <w:t xml:space="preserve">říprav. </w:t>
      </w:r>
      <w:r w:rsidR="00194FDC">
        <w:t>Popis projektu znázorňuje následující mapa a související komentář.</w:t>
      </w:r>
    </w:p>
    <w:p w:rsidR="005624D5" w:rsidRDefault="005624D5" w:rsidP="00872574">
      <w:r>
        <w:rPr>
          <w:noProof/>
          <w:lang w:eastAsia="cs-CZ"/>
        </w:rPr>
        <w:lastRenderedPageBreak/>
        <w:drawing>
          <wp:inline distT="0" distB="0" distL="0" distR="0">
            <wp:extent cx="5760720" cy="5760720"/>
            <wp:effectExtent l="19050" t="0" r="0" b="0"/>
            <wp:docPr id="73" name="obrázek 1" descr="C:\Users\lenovo\Documents\MAS\ISRÚ_SCLLD\07-R35-usek-Ostrov-Janov-1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MAS\ISRÚ_SCLLD\07-R35-usek-Ostrov-Janov-100131.gif"/>
                    <pic:cNvPicPr>
                      <a:picLocks noChangeAspect="1" noChangeArrowheads="1"/>
                    </pic:cNvPicPr>
                  </pic:nvPicPr>
                  <pic:blipFill>
                    <a:blip r:embed="rId23"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5624D5" w:rsidRDefault="005624D5" w:rsidP="00872574">
      <w:r>
        <w:t>Zd</w:t>
      </w:r>
      <w:r w:rsidRPr="00EC2AD0">
        <w:t xml:space="preserve">roj: </w:t>
      </w:r>
      <w:hyperlink r:id="rId24" w:history="1">
        <w:r w:rsidRPr="00EC2AD0">
          <w:rPr>
            <w:rStyle w:val="Hypertextovodkaz"/>
            <w:color w:val="auto"/>
          </w:rPr>
          <w:t>http://www.r35.eu/mapy/07-R35-usek-Ostrov-Janov-100131</w:t>
        </w:r>
      </w:hyperlink>
    </w:p>
    <w:p w:rsidR="005624D5" w:rsidRDefault="00B17AE0" w:rsidP="005624D5">
      <w:r>
        <w:t>„...</w:t>
      </w:r>
      <w:r w:rsidR="005624D5" w:rsidRPr="005624D5">
        <w:t>Mezi Vysokým Mýtem a Litomyšlí sleduje navržená trasa hlavní komunikační osy v území – stávající silnici I/35 a železniční t</w:t>
      </w:r>
      <w:r w:rsidR="009F5BCE">
        <w:t>rať. Mezi Hrušovou a Cerekvicemi</w:t>
      </w:r>
      <w:r w:rsidR="005624D5" w:rsidRPr="005624D5">
        <w:t xml:space="preserve"> trasa R35 tyto linie přechází, a dále vede v území severně od nich. U obce Řídký je navržena MÚK, za níž se trasa rychlostní komunikace R35 odklání od koridoru silnice I/35 a míří východním směrem severně od obcí Sedliště a Kornice. U obce Kornice je navržena další MÚK. Za touto křižovatkou trasa směřuje opět jihovýchodním směrem a vede západně od Strakova a východně od Janova, kde využívá stávající těleso silnice I/35 jako levou polovinu čtyřpruhové komunikace.</w:t>
      </w:r>
    </w:p>
    <w:p w:rsidR="00B17AE0" w:rsidRPr="005624D5" w:rsidRDefault="00B17AE0" w:rsidP="005624D5">
      <w:r>
        <w:lastRenderedPageBreak/>
        <w:t>...</w:t>
      </w:r>
    </w:p>
    <w:p w:rsidR="005624D5" w:rsidRPr="005624D5" w:rsidRDefault="005624D5" w:rsidP="005624D5">
      <w:r w:rsidRPr="005624D5">
        <w:t>Umístění rychlostní silnice do řešeného území přirozeně zásadně ovlivní celý systém dopravních komunikací v této oblasti. V návaznosti na výstavbu tohoto úseku R35 mají být vybudovány přivaděče k Ústí nad Orlicí a České Třebové, jejichž výstavba byla jednou z podmínek, který umožnil stabilizaci vedení R35 v tzv. jižní variantě. Předpokládá se výstavba několika přeložek komunikací nižší třídy, jejich počet však není velký, neboť ve většině mimoúrovňových křižovatek bude rychlostní silnice R35 napojena na stávající silniční síť pouze krátkou spojkou k souběžné silnici I/35. Trasy těchto přeložek ještě nejsou definitivně dopracovány, jedná se vesměs o silnice II. třídy. Dále bude nutné vybudovat celou řadu přeložek stávajících komunikací a inženýrských sítí, přes které rychlostní silnice R35 přechází.</w:t>
      </w:r>
    </w:p>
    <w:p w:rsidR="005624D5" w:rsidRPr="005624D5" w:rsidRDefault="005624D5" w:rsidP="005624D5">
      <w:r w:rsidRPr="005624D5">
        <w:t>Po vybudování tohoto úseku rychlostní silnice R35 bude dokončena alternativní čtyřpruhová komunikace mezi Čechami a Moravou, což by mělo vést k částečnému odlehčení dnes přetížené dálnice D1 mezi Prahou a Brnem. Spojení Prahy se střední a severní Moravou je při použití rychlostní silnice o přibližně 30 km kratší než po dálnici D1.</w:t>
      </w:r>
    </w:p>
    <w:p w:rsidR="005624D5" w:rsidRPr="005624D5" w:rsidRDefault="005624D5" w:rsidP="005624D5">
      <w:r w:rsidRPr="005624D5">
        <w:t>V rámci celé trasy jsou posuzovány ještě dvě subvarianty, a to v prostoru severně od Litomyšle (Sedliště) a u obce Janov.</w:t>
      </w:r>
    </w:p>
    <w:p w:rsidR="005624D5" w:rsidRPr="0002165E" w:rsidRDefault="005624D5" w:rsidP="005624D5">
      <w:pPr>
        <w:rPr>
          <w:b/>
        </w:rPr>
      </w:pPr>
      <w:r w:rsidRPr="0002165E">
        <w:rPr>
          <w:b/>
        </w:rPr>
        <w:t>Subvarianta Sedliště – jih</w:t>
      </w:r>
    </w:p>
    <w:p w:rsidR="005624D5" w:rsidRPr="005624D5" w:rsidRDefault="005624D5" w:rsidP="005624D5">
      <w:r w:rsidRPr="005624D5">
        <w:t>Jedná se o vedení obchvatu Litomyšle v trase posuzované v rámci Oznámení tohoto záměru. Subvarianta se odpojuje ze základní trasy přibližně v km 50,1 a opět se napojuje v km 58,65. Tento úsek představuje km 13,0 až km 21,0 dle staničení používaném v Oznámení záměru.</w:t>
      </w:r>
    </w:p>
    <w:p w:rsidR="005624D5" w:rsidRPr="0002165E" w:rsidRDefault="005624D5" w:rsidP="005624D5">
      <w:pPr>
        <w:rPr>
          <w:b/>
        </w:rPr>
      </w:pPr>
      <w:r w:rsidRPr="0002165E">
        <w:rPr>
          <w:b/>
        </w:rPr>
        <w:t>Subvarianta Janov</w:t>
      </w:r>
    </w:p>
    <w:p w:rsidR="005624D5" w:rsidRPr="005624D5" w:rsidRDefault="005624D5" w:rsidP="005624D5">
      <w:r w:rsidRPr="005624D5">
        <w:t xml:space="preserve">Jedná se o variantní řešení obchvatu Janova v km 62,0 až 66,0. Subvarianta oproti základní variantě nevyužívá stávající I/35 jako polovinu profilu vozovky, zachovává tak vybudovaný </w:t>
      </w:r>
      <w:r w:rsidRPr="005624D5">
        <w:lastRenderedPageBreak/>
        <w:t>obchvat Janova. Subvarianta je od základní varianty vzdálena asi 85 metrů, v blízkosti MÚK Janov se vzdálenost zvyšuje na maximálně 200 metrů.</w:t>
      </w:r>
      <w:r w:rsidR="00B17AE0">
        <w:t>“</w:t>
      </w:r>
      <w:r w:rsidR="00B17AE0">
        <w:rPr>
          <w:rStyle w:val="Znakapoznpodarou"/>
        </w:rPr>
        <w:footnoteReference w:id="12"/>
      </w:r>
    </w:p>
    <w:p w:rsidR="00985A02" w:rsidRPr="00985A02" w:rsidRDefault="00985A02" w:rsidP="00EC2AD0">
      <w:r w:rsidRPr="00985A02">
        <w:t>Rekonstrukce rychlostní silnice R35 je jedním z projektů potencionálně financovatelných z dotačních prostředků Integrovaného regionálního operačního programu  (IROP). Dále je předpoklad možného financování projektů na trasách silnic číslo 358 a 360 (viz obrázek níže).</w:t>
      </w:r>
    </w:p>
    <w:p w:rsidR="00985A02" w:rsidRPr="00985A02" w:rsidRDefault="00985A02" w:rsidP="00EC2AD0">
      <w:r w:rsidRPr="00985A02">
        <w:t>Všechny zmíněné projekty dopravní infrastruktury během realizace budou představovat komplikace v oblasti dopravy (dojezdové vzdálenosti a časy) a životního prostředí.</w:t>
      </w:r>
    </w:p>
    <w:p w:rsidR="00496B61" w:rsidRDefault="00DD0355" w:rsidP="00EC2AD0">
      <w:pPr>
        <w:ind w:left="-1134"/>
      </w:pPr>
      <w:r>
        <w:rPr>
          <w:noProof/>
          <w:lang w:eastAsia="cs-CZ"/>
        </w:rPr>
        <w:drawing>
          <wp:inline distT="0" distB="0" distL="0" distR="0">
            <wp:extent cx="2457907" cy="2575175"/>
            <wp:effectExtent l="19050" t="0" r="0" b="0"/>
            <wp:docPr id="7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457907" cy="2575175"/>
                    </a:xfrm>
                    <a:prstGeom prst="snip1Rect">
                      <a:avLst/>
                    </a:prstGeom>
                    <a:noFill/>
                    <a:ln w="9525">
                      <a:noFill/>
                      <a:miter lim="800000"/>
                      <a:headEnd/>
                      <a:tailEnd/>
                    </a:ln>
                  </pic:spPr>
                </pic:pic>
              </a:graphicData>
            </a:graphic>
          </wp:inline>
        </w:drawing>
      </w:r>
      <w:r>
        <w:rPr>
          <w:noProof/>
          <w:lang w:eastAsia="cs-CZ"/>
        </w:rPr>
        <w:drawing>
          <wp:inline distT="0" distB="0" distL="0" distR="0">
            <wp:extent cx="3836061" cy="2591692"/>
            <wp:effectExtent l="19050" t="0" r="0" b="0"/>
            <wp:docPr id="7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841714" cy="2595511"/>
                    </a:xfrm>
                    <a:prstGeom prst="rect">
                      <a:avLst/>
                    </a:prstGeom>
                    <a:noFill/>
                    <a:ln w="9525">
                      <a:noFill/>
                      <a:miter lim="800000"/>
                      <a:headEnd/>
                      <a:tailEnd/>
                    </a:ln>
                  </pic:spPr>
                </pic:pic>
              </a:graphicData>
            </a:graphic>
          </wp:inline>
        </w:drawing>
      </w:r>
    </w:p>
    <w:p w:rsidR="00DD0355" w:rsidRDefault="00DD0355" w:rsidP="00EC2AD0">
      <w:pPr>
        <w:ind w:left="-993"/>
      </w:pPr>
      <w:r w:rsidRPr="00EC2AD0">
        <w:t xml:space="preserve">Zdroj: </w:t>
      </w:r>
      <w:r w:rsidR="0056218B" w:rsidRPr="00EC2AD0">
        <w:t xml:space="preserve">IROP 2014-2020 - příloha č. 4, </w:t>
      </w:r>
      <w:r w:rsidR="00EC2AD0" w:rsidRPr="00EC2AD0">
        <w:t>(p</w:t>
      </w:r>
      <w:r w:rsidR="0056218B" w:rsidRPr="00EC2AD0">
        <w:t>ozn.: Území MAS Litomyšlsko v podobě z roku 2013</w:t>
      </w:r>
      <w:r w:rsidR="00EC2AD0" w:rsidRPr="00EC2AD0">
        <w:t>)</w:t>
      </w:r>
    </w:p>
    <w:p w:rsidR="0050130D" w:rsidRDefault="002232DC" w:rsidP="002232DC">
      <w:pPr>
        <w:pStyle w:val="Nadpis5"/>
      </w:pPr>
      <w:r>
        <w:t>Místní komunikace</w:t>
      </w:r>
    </w:p>
    <w:p w:rsidR="006B7245" w:rsidRDefault="006B7245" w:rsidP="006B7245">
      <w:r>
        <w:t xml:space="preserve">Kromě již zmíněných klíčových komunikací s nadregionálním významem je území působnosti MAS protkáno hustou sítí komunikací nižších tříd, které </w:t>
      </w:r>
      <w:r w:rsidR="00240F90">
        <w:t>mají ale často potíže se stavem nebo zimní údržbou.</w:t>
      </w:r>
    </w:p>
    <w:p w:rsidR="00240F90" w:rsidRPr="006B7245" w:rsidRDefault="00240F90" w:rsidP="006B7245">
      <w:r>
        <w:lastRenderedPageBreak/>
        <w:t>Dle šetření mezi regionálními činiteli je zřejmé, že 38 % zástupců obcí hodnotí stav místních komunikací negativně. Stejnou problematiku pak o</w:t>
      </w:r>
      <w:r w:rsidR="00A87C89">
        <w:t>b</w:t>
      </w:r>
      <w:r w:rsidR="009419C9">
        <w:t>yvatelé regionu vidí ještě vážně</w:t>
      </w:r>
      <w:r w:rsidR="00A87C89">
        <w:t>ji</w:t>
      </w:r>
      <w:r>
        <w:t>, tzn. negativně hodnotí stav komunikací 52 % obyvatel.</w:t>
      </w:r>
    </w:p>
    <w:p w:rsidR="002232DC" w:rsidRDefault="002232DC" w:rsidP="002232DC">
      <w:r w:rsidRPr="00D972B2">
        <w:rPr>
          <w:noProof/>
          <w:lang w:eastAsia="cs-CZ"/>
        </w:rPr>
        <w:drawing>
          <wp:inline distT="0" distB="0" distL="0" distR="0">
            <wp:extent cx="2847606" cy="2094614"/>
            <wp:effectExtent l="19050" t="0" r="9894" b="886"/>
            <wp:docPr id="95"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72A68">
        <w:rPr>
          <w:noProof/>
          <w:lang w:eastAsia="cs-CZ"/>
        </w:rPr>
        <w:drawing>
          <wp:inline distT="0" distB="0" distL="0" distR="0">
            <wp:extent cx="2786513" cy="2094614"/>
            <wp:effectExtent l="19050" t="0" r="13837" b="886"/>
            <wp:docPr id="96"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32DC" w:rsidRDefault="002232DC" w:rsidP="002232DC">
      <w:r w:rsidRPr="00EC2AD0">
        <w:t xml:space="preserve">Pohled </w:t>
      </w:r>
      <w:r w:rsidR="00EC2AD0" w:rsidRPr="00EC2AD0">
        <w:t>zástupců obcí</w:t>
      </w:r>
      <w:r w:rsidRPr="00EC2AD0">
        <w:t xml:space="preserve"> vlevo, pohled občanů vpravo</w:t>
      </w:r>
    </w:p>
    <w:p w:rsidR="002232DC" w:rsidRPr="002232DC" w:rsidRDefault="002232DC" w:rsidP="002232DC"/>
    <w:p w:rsidR="00875618" w:rsidRDefault="00875618" w:rsidP="00875618">
      <w:pPr>
        <w:pStyle w:val="Nadpis4"/>
      </w:pPr>
      <w:r>
        <w:t>Shrnutí informací z oblasti dopravy</w:t>
      </w:r>
    </w:p>
    <w:tbl>
      <w:tblPr>
        <w:tblStyle w:val="Mkatabulky"/>
        <w:tblW w:w="0" w:type="auto"/>
        <w:tblLook w:val="04A0"/>
      </w:tblPr>
      <w:tblGrid>
        <w:gridCol w:w="4606"/>
        <w:gridCol w:w="4606"/>
      </w:tblGrid>
      <w:tr w:rsidR="00875618" w:rsidTr="002D6B2C">
        <w:trPr>
          <w:cantSplit/>
        </w:trPr>
        <w:tc>
          <w:tcPr>
            <w:tcW w:w="4606" w:type="dxa"/>
            <w:shd w:val="clear" w:color="auto" w:fill="D6E3BC" w:themeFill="accent3" w:themeFillTint="66"/>
          </w:tcPr>
          <w:p w:rsidR="00875618" w:rsidRPr="000F7E1C" w:rsidRDefault="00875618" w:rsidP="002D6B2C">
            <w:pPr>
              <w:rPr>
                <w:b/>
              </w:rPr>
            </w:pPr>
            <w:r w:rsidRPr="000F7E1C">
              <w:rPr>
                <w:b/>
              </w:rPr>
              <w:t>S „Silné stránky“</w:t>
            </w:r>
          </w:p>
        </w:tc>
        <w:tc>
          <w:tcPr>
            <w:tcW w:w="4606" w:type="dxa"/>
            <w:shd w:val="clear" w:color="auto" w:fill="FBD4B4" w:themeFill="accent6" w:themeFillTint="66"/>
          </w:tcPr>
          <w:p w:rsidR="00875618" w:rsidRPr="000F7E1C" w:rsidRDefault="00875618" w:rsidP="002D6B2C">
            <w:pPr>
              <w:rPr>
                <w:b/>
              </w:rPr>
            </w:pPr>
            <w:r w:rsidRPr="000F7E1C">
              <w:rPr>
                <w:b/>
              </w:rPr>
              <w:t>W „Slabé stránky“</w:t>
            </w:r>
          </w:p>
        </w:tc>
      </w:tr>
      <w:tr w:rsidR="00875618" w:rsidTr="002D6B2C">
        <w:trPr>
          <w:cantSplit/>
          <w:trHeight w:val="2309"/>
        </w:trPr>
        <w:tc>
          <w:tcPr>
            <w:tcW w:w="4606" w:type="dxa"/>
            <w:shd w:val="clear" w:color="auto" w:fill="EAF1DD" w:themeFill="accent3" w:themeFillTint="33"/>
          </w:tcPr>
          <w:p w:rsidR="00875618" w:rsidRDefault="002232DC" w:rsidP="00A60AC9">
            <w:pPr>
              <w:pStyle w:val="Odstavecseseznamem"/>
              <w:numPr>
                <w:ilvl w:val="0"/>
                <w:numId w:val="26"/>
              </w:numPr>
            </w:pPr>
            <w:r>
              <w:t>Dostatečně hustá silniční síť.</w:t>
            </w:r>
          </w:p>
          <w:p w:rsidR="00875618" w:rsidRDefault="00875618" w:rsidP="002D6B2C"/>
        </w:tc>
        <w:tc>
          <w:tcPr>
            <w:tcW w:w="4606" w:type="dxa"/>
            <w:shd w:val="clear" w:color="auto" w:fill="FDE9D9" w:themeFill="accent6" w:themeFillTint="33"/>
          </w:tcPr>
          <w:p w:rsidR="00875618" w:rsidRDefault="002232DC" w:rsidP="00A60AC9">
            <w:pPr>
              <w:pStyle w:val="Odstavecseseznamem"/>
              <w:numPr>
                <w:ilvl w:val="0"/>
                <w:numId w:val="25"/>
              </w:numPr>
            </w:pPr>
            <w:r>
              <w:t>Stav některých komunikací.</w:t>
            </w:r>
          </w:p>
          <w:p w:rsidR="002232DC" w:rsidRDefault="002232DC" w:rsidP="00A60AC9">
            <w:pPr>
              <w:pStyle w:val="Odstavecseseznamem"/>
              <w:numPr>
                <w:ilvl w:val="0"/>
                <w:numId w:val="25"/>
              </w:numPr>
            </w:pPr>
            <w:r>
              <w:t>Potíže s udržením dopravní obslužnosti.</w:t>
            </w:r>
          </w:p>
          <w:p w:rsidR="00240F90" w:rsidRDefault="00240F90" w:rsidP="00A60AC9">
            <w:pPr>
              <w:pStyle w:val="Odstavecseseznamem"/>
              <w:numPr>
                <w:ilvl w:val="0"/>
                <w:numId w:val="25"/>
              </w:numPr>
            </w:pPr>
            <w:r>
              <w:t>Problémy s financováním komunikací.</w:t>
            </w:r>
          </w:p>
          <w:p w:rsidR="003A6610" w:rsidRDefault="003A6610" w:rsidP="00A60AC9">
            <w:pPr>
              <w:pStyle w:val="Odstavecseseznamem"/>
              <w:numPr>
                <w:ilvl w:val="0"/>
                <w:numId w:val="25"/>
              </w:numPr>
            </w:pPr>
            <w:r>
              <w:t>Zátěž na obecní rozpočty na udržení dopravní obslužnosti.</w:t>
            </w:r>
          </w:p>
        </w:tc>
      </w:tr>
      <w:tr w:rsidR="00875618" w:rsidTr="002D6B2C">
        <w:trPr>
          <w:cantSplit/>
        </w:trPr>
        <w:tc>
          <w:tcPr>
            <w:tcW w:w="4606" w:type="dxa"/>
            <w:shd w:val="clear" w:color="auto" w:fill="B8CCE4" w:themeFill="accent1" w:themeFillTint="66"/>
          </w:tcPr>
          <w:p w:rsidR="00875618" w:rsidRPr="000F7E1C" w:rsidRDefault="00875618" w:rsidP="002D6B2C">
            <w:pPr>
              <w:rPr>
                <w:b/>
              </w:rPr>
            </w:pPr>
            <w:r w:rsidRPr="000F7E1C">
              <w:rPr>
                <w:b/>
              </w:rPr>
              <w:t>O „Příležitosti“</w:t>
            </w:r>
          </w:p>
        </w:tc>
        <w:tc>
          <w:tcPr>
            <w:tcW w:w="4606" w:type="dxa"/>
            <w:shd w:val="clear" w:color="auto" w:fill="E5B8B7" w:themeFill="accent2" w:themeFillTint="66"/>
          </w:tcPr>
          <w:p w:rsidR="00875618" w:rsidRPr="000F7E1C" w:rsidRDefault="00875618" w:rsidP="002D6B2C">
            <w:pPr>
              <w:rPr>
                <w:b/>
              </w:rPr>
            </w:pPr>
            <w:r w:rsidRPr="000F7E1C">
              <w:rPr>
                <w:b/>
              </w:rPr>
              <w:t>T „Hrozby“</w:t>
            </w:r>
          </w:p>
        </w:tc>
      </w:tr>
      <w:tr w:rsidR="00875618" w:rsidTr="002D6B2C">
        <w:trPr>
          <w:cantSplit/>
          <w:trHeight w:val="2829"/>
        </w:trPr>
        <w:tc>
          <w:tcPr>
            <w:tcW w:w="4606" w:type="dxa"/>
            <w:shd w:val="clear" w:color="auto" w:fill="DBE5F1" w:themeFill="accent1" w:themeFillTint="33"/>
          </w:tcPr>
          <w:p w:rsidR="00875618" w:rsidRDefault="00240F90" w:rsidP="00A60AC9">
            <w:pPr>
              <w:pStyle w:val="Odstavecseseznamem"/>
              <w:numPr>
                <w:ilvl w:val="0"/>
                <w:numId w:val="27"/>
              </w:numPr>
            </w:pPr>
            <w:r>
              <w:lastRenderedPageBreak/>
              <w:t>Zlepšení stavu komunikací s plánovanou rekonstrukcí</w:t>
            </w:r>
            <w:r w:rsidR="00616F5D">
              <w:t xml:space="preserve"> komunikací vyšších tříd.</w:t>
            </w:r>
            <w:r>
              <w:t>.</w:t>
            </w:r>
          </w:p>
          <w:p w:rsidR="00240F90" w:rsidRDefault="00240F90" w:rsidP="00A60AC9">
            <w:pPr>
              <w:pStyle w:val="Odstavecseseznamem"/>
              <w:numPr>
                <w:ilvl w:val="0"/>
                <w:numId w:val="27"/>
              </w:numPr>
            </w:pPr>
            <w:r>
              <w:t>Doprava organizovaná regionálními aktéry.</w:t>
            </w:r>
          </w:p>
          <w:p w:rsidR="00240F90" w:rsidRDefault="00240F90" w:rsidP="00A60AC9">
            <w:pPr>
              <w:pStyle w:val="Odstavecseseznamem"/>
              <w:numPr>
                <w:ilvl w:val="0"/>
                <w:numId w:val="27"/>
              </w:numPr>
            </w:pPr>
            <w:r>
              <w:t>Alternativní formy místní dopravy (cyklodoprava...)</w:t>
            </w:r>
            <w:r w:rsidR="00616F5D">
              <w:t xml:space="preserve"> – odlehčení motorové obslužnosti</w:t>
            </w:r>
            <w:r>
              <w:t>.</w:t>
            </w:r>
          </w:p>
          <w:p w:rsidR="00616F5D" w:rsidRDefault="00616F5D" w:rsidP="00A60AC9">
            <w:pPr>
              <w:pStyle w:val="Odstavecseseznamem"/>
              <w:numPr>
                <w:ilvl w:val="0"/>
                <w:numId w:val="27"/>
              </w:numPr>
            </w:pPr>
            <w:r>
              <w:t xml:space="preserve">Zlepšení stavu </w:t>
            </w:r>
          </w:p>
        </w:tc>
        <w:tc>
          <w:tcPr>
            <w:tcW w:w="4606" w:type="dxa"/>
            <w:shd w:val="clear" w:color="auto" w:fill="F2DBDB" w:themeFill="accent2" w:themeFillTint="33"/>
          </w:tcPr>
          <w:p w:rsidR="00875618" w:rsidRDefault="00166480" w:rsidP="00A60AC9">
            <w:pPr>
              <w:pStyle w:val="Odstavecseseznamem"/>
              <w:numPr>
                <w:ilvl w:val="0"/>
                <w:numId w:val="27"/>
              </w:numPr>
            </w:pPr>
            <w:r>
              <w:t>Rostoucí z</w:t>
            </w:r>
            <w:r w:rsidR="00240F90">
              <w:t>ávislost na dopravní obslužnosti.</w:t>
            </w:r>
          </w:p>
          <w:p w:rsidR="00240F90" w:rsidRDefault="00240F90" w:rsidP="00A60AC9">
            <w:pPr>
              <w:pStyle w:val="Odstavecseseznamem"/>
              <w:numPr>
                <w:ilvl w:val="0"/>
                <w:numId w:val="27"/>
              </w:numPr>
            </w:pPr>
            <w:r>
              <w:t>Dopady na regionální dopravu v důsledku rekonstrukcí klíčových komunikací</w:t>
            </w:r>
          </w:p>
        </w:tc>
      </w:tr>
    </w:tbl>
    <w:p w:rsidR="00875618" w:rsidRDefault="00875618" w:rsidP="00875618"/>
    <w:p w:rsidR="00240F90" w:rsidRDefault="00240F90" w:rsidP="00A60AC9">
      <w:pPr>
        <w:pStyle w:val="Odstavecseseznamem"/>
        <w:numPr>
          <w:ilvl w:val="0"/>
          <w:numId w:val="27"/>
        </w:numPr>
      </w:pPr>
      <w:r>
        <w:t>Eliminace dopadů  na region v důsledku realizace klíčových infrastrukturních projektů není v možnostech MAS.</w:t>
      </w:r>
    </w:p>
    <w:p w:rsidR="00240F90" w:rsidRDefault="00240F90" w:rsidP="00A60AC9">
      <w:pPr>
        <w:pStyle w:val="Odstavecseseznamem"/>
        <w:numPr>
          <w:ilvl w:val="0"/>
          <w:numId w:val="27"/>
        </w:numPr>
      </w:pPr>
      <w:r>
        <w:t>Doprava organizovaná regionálními aktéry by mohla pomoci snížit závislost na dopravní obslužnosti zajišťované soukromými dopravci.</w:t>
      </w:r>
    </w:p>
    <w:p w:rsidR="00240F90" w:rsidRDefault="00240F90" w:rsidP="00A60AC9">
      <w:pPr>
        <w:pStyle w:val="Odstavecseseznamem"/>
        <w:numPr>
          <w:ilvl w:val="1"/>
          <w:numId w:val="27"/>
        </w:numPr>
      </w:pPr>
      <w:r>
        <w:t>Hromadná</w:t>
      </w:r>
      <w:r w:rsidR="006647BC">
        <w:t xml:space="preserve"> (např. mikrobusy).</w:t>
      </w:r>
    </w:p>
    <w:p w:rsidR="00240F90" w:rsidRDefault="00240F90" w:rsidP="00A60AC9">
      <w:pPr>
        <w:pStyle w:val="Odstavecseseznamem"/>
        <w:numPr>
          <w:ilvl w:val="1"/>
          <w:numId w:val="27"/>
        </w:numPr>
      </w:pPr>
      <w:r>
        <w:t>Individuální (tzv. „seniordoprva“, apod.</w:t>
      </w:r>
      <w:r w:rsidR="006647BC">
        <w:t xml:space="preserve"> </w:t>
      </w:r>
      <w:r w:rsidR="00C77B95">
        <w:t>podrobněji specifikovaná</w:t>
      </w:r>
      <w:r w:rsidR="006647BC">
        <w:t xml:space="preserve"> v části věnované sociálním službám</w:t>
      </w:r>
      <w:r>
        <w:t>)</w:t>
      </w:r>
    </w:p>
    <w:p w:rsidR="003A6610" w:rsidRDefault="003A6610" w:rsidP="003A6610">
      <w:pPr>
        <w:ind w:left="708"/>
      </w:pPr>
      <w:r>
        <w:t>Financování provozu je v určitém měřítku možné ze zdrojů lokálních aktérů (zejména pro malé obce ale obtížně). Případné pořizování dopravních prostředků je z místních zdrojů možné jen ve velmi malém měřítku (pro většinu obcí ale nereálné). Je zde tedy evidentní závislost na dotačních prostředcích, bez kterých je dopravní obslužnost některých obcí ohrožena.</w:t>
      </w:r>
    </w:p>
    <w:p w:rsidR="00240F90" w:rsidRPr="00875618" w:rsidRDefault="00240F90" w:rsidP="00A60AC9">
      <w:pPr>
        <w:pStyle w:val="Odstavecseseznamem"/>
        <w:numPr>
          <w:ilvl w:val="0"/>
          <w:numId w:val="27"/>
        </w:numPr>
      </w:pPr>
      <w:r>
        <w:t xml:space="preserve">Stav komunikací a jejich financování je možné </w:t>
      </w:r>
      <w:r w:rsidR="00386297">
        <w:t xml:space="preserve">téměř výhradně </w:t>
      </w:r>
      <w:r>
        <w:t>z dotačních prostředků.</w:t>
      </w:r>
      <w:r w:rsidR="003A6610">
        <w:t xml:space="preserve"> Z rozpočtů obcí jsou možné jen relativně malé projekty</w:t>
      </w:r>
      <w:r w:rsidR="00386297">
        <w:t xml:space="preserve"> (v závislosti na velikosti obce)</w:t>
      </w:r>
      <w:r w:rsidR="003A6610">
        <w:t>.</w:t>
      </w:r>
    </w:p>
    <w:p w:rsidR="00120802" w:rsidRDefault="00120802" w:rsidP="009F4D7F">
      <w:pPr>
        <w:pStyle w:val="Nadpis3"/>
      </w:pPr>
      <w:bookmarkStart w:id="25" w:name="_Toc430006499"/>
      <w:r>
        <w:lastRenderedPageBreak/>
        <w:t>Vybavenost obcí a služby</w:t>
      </w:r>
      <w:bookmarkEnd w:id="25"/>
    </w:p>
    <w:p w:rsidR="00856F88" w:rsidRDefault="0035075B" w:rsidP="0035075B">
      <w:pPr>
        <w:pStyle w:val="Nadpis4"/>
      </w:pPr>
      <w:r w:rsidRPr="0035075B">
        <w:t>Vzdělávání a volný čas</w:t>
      </w:r>
    </w:p>
    <w:p w:rsidR="0035075B" w:rsidRDefault="00DA386D" w:rsidP="0035075B">
      <w:r>
        <w:t xml:space="preserve">Infrastruktura pro vzdělávání a volnočasové aktivity je jedním z prvků občanské vybavenosti. Sama o sobě však k nabídce těchto služeb nestačí. Infrastruktura musí být využívána regionálními aktéry a komunitou. </w:t>
      </w:r>
    </w:p>
    <w:p w:rsidR="00DA386D" w:rsidRDefault="00DA386D" w:rsidP="0035075B">
      <w:r>
        <w:t>Oblast vzdělávání a volného času je zde spojena z důvodu úzké provázanosti a velkého překryvu</w:t>
      </w:r>
      <w:r w:rsidR="001C29BE">
        <w:t xml:space="preserve"> (zejména u aktivit mimo povinnou školní docházku, a to jak u dětí, tak u</w:t>
      </w:r>
      <w:r w:rsidR="000047FB">
        <w:t xml:space="preserve"> </w:t>
      </w:r>
      <w:r w:rsidR="001C29BE">
        <w:t>dospělých)</w:t>
      </w:r>
      <w:r>
        <w:t>. Dohromady také usnadňují občanům sladění rodinného a pracovního života.</w:t>
      </w:r>
    </w:p>
    <w:p w:rsidR="00DA386D" w:rsidRDefault="00F609EA" w:rsidP="0035075B">
      <w:r>
        <w:t xml:space="preserve">Podrobně jsou tyto oblasti rozpracovány v kapitolách </w:t>
      </w:r>
      <w:r w:rsidR="00DA386D">
        <w:t xml:space="preserve">2.1.8 Vzdělávání a školství </w:t>
      </w:r>
      <w:r>
        <w:t>a 2.1.6.1. V</w:t>
      </w:r>
      <w:r w:rsidR="00DA386D">
        <w:t>olnočasové aktivity</w:t>
      </w:r>
      <w:r>
        <w:t>.</w:t>
      </w:r>
    </w:p>
    <w:p w:rsidR="006B6BC1" w:rsidRDefault="006B6BC1" w:rsidP="006B6BC1">
      <w:pPr>
        <w:pStyle w:val="Nadpis5"/>
      </w:pPr>
      <w:r>
        <w:t>Veřejné knihovny</w:t>
      </w:r>
    </w:p>
    <w:p w:rsidR="00637BE1" w:rsidRDefault="006B6BC1" w:rsidP="0035075B">
      <w:r>
        <w:t>Důležitou oblastí z pohledu vzdělávání, volnočasových aktivit a komunitního života jsou veřejné knihovny, které kromě základních knihovnických služeb pořádají často také výstavy, přednášky, semináře, kulturní akce apod.</w:t>
      </w:r>
      <w:r w:rsidR="00637BE1">
        <w:t xml:space="preserve"> V současné době působí veřejné knihovny v 52 městech a obcích z celkových 54.</w:t>
      </w:r>
    </w:p>
    <w:p w:rsidR="0035075B" w:rsidRDefault="0035075B" w:rsidP="0035075B">
      <w:pPr>
        <w:pStyle w:val="Nadpis4"/>
      </w:pPr>
      <w:r>
        <w:t>Dostupnost zboží a služeb</w:t>
      </w:r>
    </w:p>
    <w:p w:rsidR="00544207" w:rsidRDefault="00544207" w:rsidP="00544207">
      <w:pPr>
        <w:pStyle w:val="Nadpis5"/>
      </w:pPr>
      <w:r>
        <w:t>Obchody a restaurace</w:t>
      </w:r>
    </w:p>
    <w:p w:rsidR="00B857F2" w:rsidRDefault="00B857F2" w:rsidP="00544207">
      <w:r w:rsidRPr="00B857F2">
        <w:t>Dostupnos</w:t>
      </w:r>
      <w:r>
        <w:t>t</w:t>
      </w:r>
      <w:r w:rsidRPr="00B857F2">
        <w:t xml:space="preserve"> zboží v malých obcích, jejichž velkým množstvím je charakteristické území MAS Litomyšlsko</w:t>
      </w:r>
      <w:r>
        <w:t xml:space="preserve"> se dostupnost zboží omezuje na prodejny potravin a nejfrekventovanějšího smíšeného zboží. Ve více než v polovině obcí je k dispozici minimálně takováto prodejna. V řadě dalších</w:t>
      </w:r>
      <w:r w:rsidR="00926936">
        <w:t xml:space="preserve"> obcí pak</w:t>
      </w:r>
      <w:r>
        <w:t xml:space="preserve"> nabídku tohoto sor</w:t>
      </w:r>
      <w:r w:rsidR="00926936">
        <w:t xml:space="preserve">timentu zajišťuje mobilní prodej. Celkově tak je touto základní nabídkou zajištěno cca 80 % obcí. V obcích, kde takový sortiment dostupný není, je příčinou malá lokální poptávka, která nepostačuje k udržení existence obchodu nebo dobrá dostupnost větších měst (Vysoké Mýto a Litomyšl), kde jsou kromě potravin a základního smíšeného zboží nesrovnatelně širší možnosti včetně řady supermarketů. </w:t>
      </w:r>
    </w:p>
    <w:p w:rsidR="00926936" w:rsidRDefault="00926936" w:rsidP="00544207">
      <w:r>
        <w:t>Právě trend výjezdů z obyvatel obcí za nákupy do supermarketů ve městech ohrožuje i existenci malých a mobilních prodejen v obcích, které</w:t>
      </w:r>
      <w:r w:rsidR="00BF387C">
        <w:t xml:space="preserve"> tak ne</w:t>
      </w:r>
      <w:r>
        <w:t>stačí svými tržbami často pokrýt ani provozní nák</w:t>
      </w:r>
      <w:r w:rsidR="00BF387C">
        <w:t>l</w:t>
      </w:r>
      <w:r>
        <w:t>ady a jsou často podporovány za strany obcí, aby tak byla zachována</w:t>
      </w:r>
      <w:r w:rsidR="00BF387C">
        <w:t xml:space="preserve"> </w:t>
      </w:r>
      <w:r>
        <w:lastRenderedPageBreak/>
        <w:t>alespoň zák</w:t>
      </w:r>
      <w:r w:rsidR="00BF387C">
        <w:t>l</w:t>
      </w:r>
      <w:r>
        <w:t>adní nabídka v omezených hodinách pro osoby neschopné dopravy</w:t>
      </w:r>
      <w:r w:rsidR="00BF387C">
        <w:t xml:space="preserve"> za nákupy</w:t>
      </w:r>
      <w:r>
        <w:t xml:space="preserve"> do měst.</w:t>
      </w:r>
    </w:p>
    <w:p w:rsidR="00BF387C" w:rsidRDefault="00BF387C" w:rsidP="00544207">
      <w:r>
        <w:t>Mezistupněm mezi těmito dvěma druhy sídel jsou z pohledu dostupnosti zboží a služeb obce nad 1000 obyvatel a město Proseč, kde je nabídka zboží i služeb udržitelná, i když znatelně užší než v případě větších měst.</w:t>
      </w:r>
    </w:p>
    <w:p w:rsidR="00BF387C" w:rsidRDefault="009136B4" w:rsidP="00544207">
      <w:r>
        <w:t>Z pohledu komunitního života, ale také z pohledu infrastruktury pro cestovní ruch je důležitá vybavenost obcí restauračními zřízeními. Z pohledu komunitního života představují možnost pro setkávání obyvatel a pořádání kulturních akcí. Z pohledu cestovního ruchu pak stravovací a někdy také ubytovací služby.</w:t>
      </w:r>
    </w:p>
    <w:p w:rsidR="009136B4" w:rsidRDefault="009136B4" w:rsidP="00544207">
      <w:r>
        <w:t>Úroveň i forma restauračních zařízení v regionu se značně liší. Jsou podniky, které disponují kvalitním zázemím nabízejících teplou kuchyni a případně také ubytovací služby</w:t>
      </w:r>
      <w:r w:rsidR="006F1EBC">
        <w:t>, ale ty najdeme převážně ve městech a obcích nad 1500 obyvatel. Výskyt zařízení podobné úrovně v menších obcích je vázán na turistický ruch, který kompenz</w:t>
      </w:r>
      <w:r w:rsidR="00367E47">
        <w:t>uje nedostatek místní poptávky.</w:t>
      </w:r>
    </w:p>
    <w:p w:rsidR="006F1EBC" w:rsidRDefault="00367E47" w:rsidP="00544207">
      <w:r>
        <w:t xml:space="preserve">Další zařízení tohoto typu v regionu lze rozdělit do dalších dvou skupin. Dá se říci, že zařízení </w:t>
      </w:r>
      <w:r w:rsidR="00CC192B">
        <w:t>v obcích nad 400 obyvatel jsou zařízení relativně stabilizovaná a svou komunitní a kulturní akci plní i přes omezenou nabídku dalších služeb jako je teplá kuchyně. V menších obcích pak restaurace často mění provozovatele nebo nejsou provozovány dočasně nebo dlouhodobě vůbec. Také úroveň prostor těchto zařízení je v malých obcích různá (od kvalitního zázemí po vyhrazené prostory ve veřejných budovách.).</w:t>
      </w:r>
    </w:p>
    <w:p w:rsidR="00CC192B" w:rsidRDefault="00CC192B" w:rsidP="00544207">
      <w:r>
        <w:t>Zejména v menších obcích je zásadním faktorem iniciativní přístup provozovatele.</w:t>
      </w:r>
    </w:p>
    <w:p w:rsidR="0035075B" w:rsidRDefault="00C7065E" w:rsidP="00C7065E">
      <w:pPr>
        <w:pStyle w:val="Nadpis5"/>
      </w:pPr>
      <w:r>
        <w:t>Doručovatelské</w:t>
      </w:r>
      <w:r w:rsidR="0016054F">
        <w:t xml:space="preserve"> a bankovní</w:t>
      </w:r>
      <w:r>
        <w:t xml:space="preserve"> služby</w:t>
      </w:r>
    </w:p>
    <w:p w:rsidR="00C7065E" w:rsidRDefault="00C7065E" w:rsidP="00C7065E">
      <w:r>
        <w:t>Základní vybaveností v doručovatelských službách je stále ještě dostupnost služeb Česká Pošty, s.p., a to zejména z pohledu odesilatelů. Její pobočky se nachází 17 obcích a městech z 54 (31 %): Budislav, Cerekvice nad Loučnou, Čistá, Dolní Újezd, Janov, Litomyšl, Lubná, Morašice, Němčice, Nové Hrady, Osík, Poříčí u Litomyšle, Proseč, Sebranice, Sloupnice, Trstěnice, Vysoké Mýto.</w:t>
      </w:r>
    </w:p>
    <w:p w:rsidR="00C7065E" w:rsidRDefault="00C7065E" w:rsidP="00C7065E">
      <w:r>
        <w:t>Z pohledu příjemců je celá oblast obsluhována kromě České pošty, s.p. obsluhována také řadou soukromých doručovatelských společností.</w:t>
      </w:r>
    </w:p>
    <w:p w:rsidR="006671ED" w:rsidRDefault="0016054F" w:rsidP="00C7065E">
      <w:r>
        <w:lastRenderedPageBreak/>
        <w:t xml:space="preserve">Co se týče bankovních služeb a dostupnosti bankomatů, </w:t>
      </w:r>
      <w:r w:rsidR="006671ED">
        <w:t>jsou kromě poboček České Pošty k dispozici pouze ve městech Vysoké Mýto, Litomyšl a Proseč.</w:t>
      </w:r>
    </w:p>
    <w:p w:rsidR="0016054F" w:rsidRDefault="0016054F" w:rsidP="00C7065E">
      <w:r>
        <w:rPr>
          <w:noProof/>
          <w:lang w:eastAsia="cs-CZ"/>
        </w:rPr>
        <w:drawing>
          <wp:inline distT="0" distB="0" distL="0" distR="0">
            <wp:extent cx="5762625" cy="4019550"/>
            <wp:effectExtent l="19050" t="0" r="0" b="0"/>
            <wp:docPr id="15" name="obrázek 1" descr="C:\Users\lenovo\Documents\MAS\ISRÚ_SCLLD\Nazvy_Okresy pošty, ban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MAS\ISRÚ_SCLLD\Nazvy_Okresy pošty, banky.png"/>
                    <pic:cNvPicPr>
                      <a:picLocks noChangeAspect="1" noChangeArrowheads="1"/>
                    </pic:cNvPicPr>
                  </pic:nvPicPr>
                  <pic:blipFill>
                    <a:blip r:embed="rId29" cstate="print"/>
                    <a:srcRect t="27836" b="22807"/>
                    <a:stretch>
                      <a:fillRect/>
                    </a:stretch>
                  </pic:blipFill>
                  <pic:spPr bwMode="auto">
                    <a:xfrm>
                      <a:off x="0" y="0"/>
                      <a:ext cx="5762625" cy="4019550"/>
                    </a:xfrm>
                    <a:prstGeom prst="rect">
                      <a:avLst/>
                    </a:prstGeom>
                    <a:noFill/>
                    <a:ln w="9525">
                      <a:noFill/>
                      <a:miter lim="800000"/>
                      <a:headEnd/>
                      <a:tailEnd/>
                    </a:ln>
                  </pic:spPr>
                </pic:pic>
              </a:graphicData>
            </a:graphic>
          </wp:inline>
        </w:drawing>
      </w:r>
    </w:p>
    <w:p w:rsidR="0016054F" w:rsidRDefault="0016054F" w:rsidP="00C7065E"/>
    <w:p w:rsidR="00C7065E" w:rsidRDefault="00C7065E" w:rsidP="00C7065E">
      <w:pPr>
        <w:pStyle w:val="Nadpis5"/>
      </w:pPr>
      <w:r>
        <w:t>Řemeslnické služby</w:t>
      </w:r>
    </w:p>
    <w:p w:rsidR="00637BE1" w:rsidRDefault="00637BE1" w:rsidP="00C7065E">
      <w:r>
        <w:t>Na zjištění dostupnosti běžně využívaných služeb drobných podnikatelů se zaměřil realizovaný průzkum v regionu. Předmětem byly nejběžnější služby jako kadeřnictví, truhlářské práce, zednické práce a instalatérské práce.</w:t>
      </w:r>
    </w:p>
    <w:p w:rsidR="00637BE1" w:rsidRDefault="00637BE1" w:rsidP="00C7065E">
      <w:r>
        <w:t xml:space="preserve">Z pohledu zástupců obcí je nabídka zmíněných služeb </w:t>
      </w:r>
      <w:r w:rsidR="00EA5F74">
        <w:t>relativně malá. Celých 13 % z ni</w:t>
      </w:r>
      <w:r>
        <w:t>ch hodnotí nabídku jako nedostatečnou a 29 % jako spíše nedostatečnou (celkem 42 % negativních odpovědí).</w:t>
      </w:r>
    </w:p>
    <w:p w:rsidR="00637BE1" w:rsidRDefault="00637BE1" w:rsidP="00C7065E">
      <w:r>
        <w:t>Občané jsou v tomto směru o něco skromnější a nabídku jako nedostatečnou hodnotí 7 % dotázaných a jako spíše nedostatečnou 18 % dotázaných.</w:t>
      </w:r>
    </w:p>
    <w:p w:rsidR="00C7065E" w:rsidRDefault="00C7065E" w:rsidP="00C7065E">
      <w:r w:rsidRPr="00C7065E">
        <w:rPr>
          <w:noProof/>
          <w:lang w:eastAsia="cs-CZ"/>
        </w:rPr>
        <w:lastRenderedPageBreak/>
        <w:drawing>
          <wp:inline distT="0" distB="0" distL="0" distR="0">
            <wp:extent cx="2828925" cy="1943100"/>
            <wp:effectExtent l="19050" t="0" r="9525" b="0"/>
            <wp:docPr id="97"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7065E">
        <w:rPr>
          <w:noProof/>
          <w:lang w:eastAsia="cs-CZ"/>
        </w:rPr>
        <w:drawing>
          <wp:inline distT="0" distB="0" distL="0" distR="0">
            <wp:extent cx="2828925" cy="1943100"/>
            <wp:effectExtent l="19050" t="0" r="9525" b="0"/>
            <wp:docPr id="98"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2AD0" w:rsidRDefault="00EC2AD0" w:rsidP="00EC2AD0">
      <w:r w:rsidRPr="00EC2AD0">
        <w:t>Pohled zástupců obcí vlevo, občanů vpravo</w:t>
      </w:r>
    </w:p>
    <w:p w:rsidR="00A9131C" w:rsidRDefault="00A9131C" w:rsidP="00C7065E">
      <w:r>
        <w:t>Podstatným atributem většiny z těchto služeb je to, že jsou často mobilní a mohou obsluhovat obyvatele více obcí tak, že přijedou za nimi bez fyzické provozovny v obci.</w:t>
      </w:r>
    </w:p>
    <w:p w:rsidR="0042781B" w:rsidRDefault="0042781B" w:rsidP="0042781B">
      <w:r>
        <w:t>Rozdíly ve vnímání mohou být způsobeny tím, že na venkově ještě stále je řada obyvatel manuálně velice zručná (částečně také technicky vybavená) a s řadou činností si tak dokážou poradit bez služeb odborníka. Nevnímají tedy tolik jejich reálnou absenci, která je pro zástupce obcí evidentnější, protože mají přehled o podnikatelích v obci i okolí (z pohledu vedení obce i z pohledu obce jako konzumenta těchto služeb).</w:t>
      </w:r>
    </w:p>
    <w:p w:rsidR="00D83A63" w:rsidRDefault="00D83A63" w:rsidP="00D83A63">
      <w:pPr>
        <w:pStyle w:val="Nadpis5"/>
      </w:pPr>
      <w:r>
        <w:t>Služby pro rodiny s dětmi</w:t>
      </w:r>
    </w:p>
    <w:p w:rsidR="00C7065E" w:rsidRDefault="00FF1D0A" w:rsidP="00C7065E">
      <w:r>
        <w:t>Služby pro rodiny nebo občany s dětmi jsou na vysoké úrovni zejména ve městech Vysoké Mýto a Litomyšl, kde je kromě veřejných institucí k dispozici také celá řada soukromých aktivit mateřských center, center volného času apod. Ve městě Proseč u Skutče také funguje rodinné centrum, ale v podstatně menší míře. Aktivity soukromých subjektů a spolků závisejí na poptávce v daných městech nebo obcích. V tomto směru jsou malé obce poměrně málo zajištěné, což vyplývá i z výsledků dotazníkového šetření zobrazených v grafech níže.</w:t>
      </w:r>
    </w:p>
    <w:p w:rsidR="00D83A63" w:rsidRDefault="00D83A63" w:rsidP="00C7065E">
      <w:r w:rsidRPr="00D83A63">
        <w:rPr>
          <w:noProof/>
          <w:lang w:eastAsia="cs-CZ"/>
        </w:rPr>
        <w:drawing>
          <wp:inline distT="0" distB="0" distL="0" distR="0">
            <wp:extent cx="2828925" cy="1990725"/>
            <wp:effectExtent l="19050" t="0" r="9525" b="0"/>
            <wp:docPr id="99"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83A63">
        <w:rPr>
          <w:noProof/>
          <w:lang w:eastAsia="cs-CZ"/>
        </w:rPr>
        <w:drawing>
          <wp:inline distT="0" distB="0" distL="0" distR="0">
            <wp:extent cx="2828925" cy="1990725"/>
            <wp:effectExtent l="19050" t="0" r="9525" b="0"/>
            <wp:docPr id="100"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3A63" w:rsidRDefault="00D83A63" w:rsidP="00C7065E">
      <w:r>
        <w:lastRenderedPageBreak/>
        <w:t xml:space="preserve">Pohled </w:t>
      </w:r>
      <w:r w:rsidR="00EC2AD0">
        <w:t>zástupců obcí</w:t>
      </w:r>
      <w:r>
        <w:t xml:space="preserve"> vlevo, občanů vpravo</w:t>
      </w:r>
    </w:p>
    <w:p w:rsidR="00FF1D0A" w:rsidRDefault="00FF1D0A" w:rsidP="00C7065E">
      <w:r>
        <w:t xml:space="preserve">Do oblasti služeb pro osoby s dětmi je možné zahrnout také aktivity školských zařízení a družin, které jsou podrobně </w:t>
      </w:r>
      <w:r w:rsidRPr="00582A0F">
        <w:t>popsány v kapitole 2.1.8 Vzdělávání a školství.</w:t>
      </w:r>
    </w:p>
    <w:p w:rsidR="00A9131C" w:rsidRDefault="00A9131C" w:rsidP="00C7065E">
      <w:r>
        <w:t>Problém těchto služeb je, že nejsou mobilní a jsou závislé na vybudovaných prostorách a infrastruktuře. Není tak možné, aby poskytovatel sídlící v jednom městě takto obsloužil i řadu dalších okolních obcí, jak je to možné u řady řemeslných služeb. Poskytovatelé jsou tedy závislí jen na malé lokální poptávce, která není schopna naplnit případnou nabídku, zatímco řemeslnické služby stahují poptávku z širšího okolí díky.</w:t>
      </w:r>
    </w:p>
    <w:p w:rsidR="00FF1D0A" w:rsidRDefault="00FF1D0A" w:rsidP="00C7065E">
      <w:r>
        <w:t xml:space="preserve">Řada obcí </w:t>
      </w:r>
      <w:r w:rsidR="00496F72">
        <w:t>s</w:t>
      </w:r>
      <w:r>
        <w:t xml:space="preserve">e snaží absenci služeb suplovat </w:t>
      </w:r>
      <w:r w:rsidR="00496F72">
        <w:t>budováním veřejné infrastruktury (zejména společenských prostor a dětských hřišť), kde se ve velké míře úspěšně podařilo aplikovat metodu LEADER. Obce a iniciativy v obcích se také snaží pořádat akce pro děti a mládež.</w:t>
      </w:r>
    </w:p>
    <w:p w:rsidR="00D83A63" w:rsidRDefault="00D83A63" w:rsidP="00D83A63">
      <w:pPr>
        <w:pStyle w:val="Nadpis5"/>
      </w:pPr>
      <w:r>
        <w:t>Služby pro seniory a jinak znevýhodněné obyvatele</w:t>
      </w:r>
    </w:p>
    <w:p w:rsidR="00D83A63" w:rsidRDefault="0059456D" w:rsidP="00D83A63">
      <w:r>
        <w:t>V tét</w:t>
      </w:r>
      <w:r w:rsidR="00200622">
        <w:t xml:space="preserve">o části strategického dokument </w:t>
      </w:r>
      <w:r>
        <w:t xml:space="preserve">se omezíme na pohled místních aktérů a obyvatel regionu. Podrobné informace o sociálních a zdravotnických službách v regionu jsou k dispozici v </w:t>
      </w:r>
      <w:r w:rsidRPr="00582A0F">
        <w:t>kapitole 2.1.6 Život v obcích.</w:t>
      </w:r>
    </w:p>
    <w:p w:rsidR="0059456D" w:rsidRDefault="0059456D" w:rsidP="00D83A63">
      <w:r>
        <w:t>Průzkum se zaměřil na služby pro seniory, kterých v regionu stále vlivem stárnutí populace přibývá, ale reálně jsou tyto služby dostupné i jinak znevýhodněným občanům (z důvodu tělesného nebo mentálního postižení...)</w:t>
      </w:r>
      <w:r w:rsidR="00AF04E8">
        <w:t>.</w:t>
      </w:r>
    </w:p>
    <w:p w:rsidR="0059456D" w:rsidRDefault="00AF04E8" w:rsidP="00D83A63">
      <w:r>
        <w:t>Přes zobrazení výsledků šetření v grafech vedle sebe nelze vzhledem ke znění položených otázek (viz grafy níže) výsledky jednoznačně srovnávat.</w:t>
      </w:r>
    </w:p>
    <w:p w:rsidR="00AF04E8" w:rsidRDefault="00AF04E8" w:rsidP="00D83A63">
      <w:r>
        <w:t>Názory zástupců obcí (42 % negativních odpovědí) jsou vztahovány k území obce a jejímu okolí a reflektují také absence zařízení a služeb přímo v obcích a jejich okolí. Z tohoto pohledu jsou výsledky reálné, protože ve většině obcí zařízení tohoto typu opravdu nejsou. Nicméně obyvatelé nejsou odkázáni zcela na sebe, protože v regionu působí malé množství subjektů, které poskytují terénní sociální služby širokému okolí bez fyzické přítomnosti sídla nebo jiné infrastruktury přímo v obcích to už reflektují i obyvatelé regionu, kteří dostupnost uvedených služeb hodnotí jako nedostatečnou nebo spíše nedostatečnou pouze ve 13 % případů.</w:t>
      </w:r>
    </w:p>
    <w:p w:rsidR="00D83A63" w:rsidRDefault="00D83A63" w:rsidP="00D83A63">
      <w:r w:rsidRPr="00D83A63">
        <w:rPr>
          <w:noProof/>
          <w:lang w:eastAsia="cs-CZ"/>
        </w:rPr>
        <w:lastRenderedPageBreak/>
        <w:drawing>
          <wp:inline distT="0" distB="0" distL="0" distR="0">
            <wp:extent cx="2828925" cy="1809750"/>
            <wp:effectExtent l="19050" t="0" r="9525" b="0"/>
            <wp:docPr id="101"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83A63">
        <w:rPr>
          <w:noProof/>
          <w:lang w:eastAsia="cs-CZ"/>
        </w:rPr>
        <w:drawing>
          <wp:inline distT="0" distB="0" distL="0" distR="0">
            <wp:extent cx="2828925" cy="1809750"/>
            <wp:effectExtent l="19050" t="0" r="9525" b="0"/>
            <wp:docPr id="102"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3A63" w:rsidRDefault="00D83A63" w:rsidP="00D83A63">
      <w:r w:rsidRPr="00582A0F">
        <w:t xml:space="preserve">Pohled </w:t>
      </w:r>
      <w:r w:rsidR="00582A0F" w:rsidRPr="00582A0F">
        <w:t>zástupců obcí</w:t>
      </w:r>
      <w:r w:rsidRPr="00582A0F">
        <w:t xml:space="preserve"> vlevo, občanů vpravo</w:t>
      </w:r>
    </w:p>
    <w:p w:rsidR="00D83A63" w:rsidRDefault="00AF04E8" w:rsidP="00D83A63">
      <w:r>
        <w:t xml:space="preserve">Výše uvedený komentář částečně potvrzují výsledky odpovědí občanů na další otázku, která se týkala dostupnosti služeb a prostor v obci pro zdravotně postižené. </w:t>
      </w:r>
      <w:r w:rsidR="00544207">
        <w:t>Celých 18 % respondentů vnímá dostupnost jako nedostatečnou a 36 % jako spíše nedostatečnou (celkem tedy 54 % negativních odpovědí). V otázce však mohla být respondenty vnímána jak nedostupnost (neexistence v obci), tak i bezbariérovost (nedostupnost i přesto, že existují).</w:t>
      </w:r>
    </w:p>
    <w:p w:rsidR="00294023" w:rsidRDefault="00294023" w:rsidP="00294023">
      <w:pPr>
        <w:jc w:val="center"/>
      </w:pPr>
      <w:r w:rsidRPr="00294023">
        <w:rPr>
          <w:noProof/>
          <w:lang w:eastAsia="cs-CZ"/>
        </w:rPr>
        <w:drawing>
          <wp:inline distT="0" distB="0" distL="0" distR="0">
            <wp:extent cx="2867025" cy="1743075"/>
            <wp:effectExtent l="19050" t="0" r="9525" b="0"/>
            <wp:docPr id="103"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3A63" w:rsidRPr="00D83A63" w:rsidRDefault="00D83A63" w:rsidP="00D83A63"/>
    <w:p w:rsidR="00D972B2" w:rsidRDefault="007F1BFF" w:rsidP="007F1BFF">
      <w:pPr>
        <w:pStyle w:val="Nadpis5"/>
      </w:pPr>
      <w:r>
        <w:t>Veřejné služby</w:t>
      </w:r>
    </w:p>
    <w:p w:rsidR="003855F3" w:rsidRDefault="007F1BFF" w:rsidP="00856F88">
      <w:r>
        <w:t>Veřejnými službami jsou pro potřeby této části myšleny zejména činnosti zajišťované městy a obcemi přímo nebo prostřednictvím zřizovaných organizací (technické služby...).</w:t>
      </w:r>
    </w:p>
    <w:p w:rsidR="007F1BFF" w:rsidRDefault="007F1BFF" w:rsidP="00856F88">
      <w:r>
        <w:t>Předmětem těchto služeb je převážně údržba a správa veřejných prostranství a majetku, komunikací, budov</w:t>
      </w:r>
      <w:r w:rsidR="007763B7">
        <w:t xml:space="preserve"> a dalších pozemků. Tyto služby zajišťují samotnou možnost využívání existující infrastruktury, která by bez správy a údržby nebyla k dispozici cílovým skupinám. Každá infrastruktura tak generuje také potřebu správy a údržby, což představuje poptávku po pracovní síle a podporu zaměstnanosti.</w:t>
      </w:r>
      <w:r w:rsidR="00896A46">
        <w:t xml:space="preserve"> Služby také mohou být realizovány místními podnikateli, což má rovněž pozitivní vliv.</w:t>
      </w:r>
    </w:p>
    <w:p w:rsidR="007763B7" w:rsidRDefault="007763B7" w:rsidP="00856F88">
      <w:r>
        <w:lastRenderedPageBreak/>
        <w:t>Tyto služby jsou v regionu poskytovány nebo zajišťovány všemi městy a obcemi. Míra těchto služeb odpovídá potřebám obce a jejím finančním možnostem. Někdy bývají tyto služby nahrazeny komunitní činností.</w:t>
      </w:r>
    </w:p>
    <w:p w:rsidR="0050130D" w:rsidRDefault="0050130D" w:rsidP="0050130D">
      <w:pPr>
        <w:pStyle w:val="Nadpis4"/>
      </w:pPr>
      <w:r>
        <w:t>Shrnutí informací o občanské vybavenosti a službách</w:t>
      </w:r>
    </w:p>
    <w:p w:rsidR="001574DD" w:rsidRDefault="001574DD" w:rsidP="001574DD">
      <w:r>
        <w:t xml:space="preserve">Základním faktorem ve venkovském regionu s velkým množstvím malých obcí je mobilita zboží a služeb (doprava k zákazníkovi) nebo velmi dobrá dopravní obslužnost. Staticky poskytované lokální služby </w:t>
      </w:r>
      <w:r w:rsidR="00CE3436">
        <w:t>odkázané na poptávku jedné obce nemají bez další podpory často naději na delší existenci.</w:t>
      </w:r>
    </w:p>
    <w:p w:rsidR="0028397B" w:rsidRDefault="0028397B" w:rsidP="001574DD"/>
    <w:tbl>
      <w:tblPr>
        <w:tblW w:w="7605" w:type="dxa"/>
        <w:jc w:val="center"/>
        <w:tblInd w:w="55" w:type="dxa"/>
        <w:tblCellMar>
          <w:left w:w="70" w:type="dxa"/>
          <w:right w:w="70" w:type="dxa"/>
        </w:tblCellMar>
        <w:tblLook w:val="04A0"/>
      </w:tblPr>
      <w:tblGrid>
        <w:gridCol w:w="303"/>
        <w:gridCol w:w="2875"/>
        <w:gridCol w:w="420"/>
        <w:gridCol w:w="303"/>
        <w:gridCol w:w="3287"/>
        <w:gridCol w:w="417"/>
      </w:tblGrid>
      <w:tr w:rsidR="0028397B" w:rsidRPr="004472A3" w:rsidTr="00B14384">
        <w:trPr>
          <w:trHeight w:val="300"/>
          <w:jc w:val="center"/>
        </w:trPr>
        <w:tc>
          <w:tcPr>
            <w:tcW w:w="3598" w:type="dxa"/>
            <w:gridSpan w:val="3"/>
            <w:tcBorders>
              <w:top w:val="nil"/>
              <w:left w:val="nil"/>
              <w:bottom w:val="nil"/>
              <w:right w:val="nil"/>
            </w:tcBorders>
            <w:shd w:val="clear" w:color="000000" w:fill="17375D"/>
            <w:noWrap/>
            <w:vAlign w:val="bottom"/>
            <w:hideMark/>
          </w:tcPr>
          <w:p w:rsidR="0028397B" w:rsidRPr="004472A3" w:rsidRDefault="0028397B" w:rsidP="00B14384">
            <w:pPr>
              <w:suppressAutoHyphens w:val="0"/>
              <w:spacing w:after="0"/>
              <w:jc w:val="center"/>
              <w:rPr>
                <w:rFonts w:ascii="Calibri" w:hAnsi="Calibri" w:cs="Calibri"/>
                <w:b/>
                <w:bCs/>
                <w:color w:val="FFFFFF"/>
                <w:sz w:val="16"/>
                <w:szCs w:val="16"/>
                <w:lang w:eastAsia="cs-CZ"/>
              </w:rPr>
            </w:pPr>
            <w:r w:rsidRPr="004472A3">
              <w:rPr>
                <w:rFonts w:ascii="Calibri" w:hAnsi="Calibri" w:cs="Calibri"/>
                <w:b/>
                <w:bCs/>
                <w:color w:val="FFFFFF"/>
                <w:sz w:val="16"/>
                <w:szCs w:val="16"/>
                <w:lang w:eastAsia="cs-CZ"/>
              </w:rPr>
              <w:t>Obec</w:t>
            </w:r>
          </w:p>
        </w:tc>
        <w:tc>
          <w:tcPr>
            <w:tcW w:w="4007" w:type="dxa"/>
            <w:gridSpan w:val="3"/>
            <w:tcBorders>
              <w:top w:val="nil"/>
              <w:left w:val="nil"/>
              <w:bottom w:val="nil"/>
              <w:right w:val="nil"/>
            </w:tcBorders>
            <w:shd w:val="clear" w:color="000000" w:fill="17375D"/>
            <w:noWrap/>
            <w:vAlign w:val="bottom"/>
            <w:hideMark/>
          </w:tcPr>
          <w:p w:rsidR="0028397B" w:rsidRPr="004472A3" w:rsidRDefault="0028397B" w:rsidP="00B14384">
            <w:pPr>
              <w:suppressAutoHyphens w:val="0"/>
              <w:spacing w:after="0"/>
              <w:jc w:val="center"/>
              <w:rPr>
                <w:rFonts w:ascii="Calibri" w:hAnsi="Calibri" w:cs="Calibri"/>
                <w:b/>
                <w:bCs/>
                <w:color w:val="FFFFFF"/>
                <w:sz w:val="16"/>
                <w:szCs w:val="16"/>
                <w:lang w:eastAsia="cs-CZ"/>
              </w:rPr>
            </w:pPr>
            <w:r w:rsidRPr="004472A3">
              <w:rPr>
                <w:rFonts w:ascii="Calibri" w:hAnsi="Calibri" w:cs="Calibri"/>
                <w:b/>
                <w:bCs/>
                <w:color w:val="FFFFFF"/>
                <w:sz w:val="16"/>
                <w:szCs w:val="16"/>
                <w:lang w:eastAsia="cs-CZ"/>
              </w:rPr>
              <w:t>Občan</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w:t>
            </w:r>
          </w:p>
        </w:tc>
        <w:tc>
          <w:tcPr>
            <w:tcW w:w="2875" w:type="dxa"/>
            <w:tcBorders>
              <w:top w:val="nil"/>
              <w:left w:val="nil"/>
              <w:bottom w:val="nil"/>
              <w:right w:val="nil"/>
            </w:tcBorders>
            <w:shd w:val="clear" w:color="000000" w:fill="EAF1DD"/>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Místní komunikace</w:t>
            </w:r>
          </w:p>
        </w:tc>
        <w:tc>
          <w:tcPr>
            <w:tcW w:w="420" w:type="dxa"/>
            <w:tcBorders>
              <w:top w:val="nil"/>
              <w:left w:val="nil"/>
              <w:bottom w:val="nil"/>
              <w:right w:val="nil"/>
            </w:tcBorders>
            <w:shd w:val="clear" w:color="000000" w:fill="EAF1DD"/>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58%</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w:t>
            </w:r>
          </w:p>
        </w:tc>
        <w:tc>
          <w:tcPr>
            <w:tcW w:w="3287" w:type="dxa"/>
            <w:tcBorders>
              <w:top w:val="nil"/>
              <w:left w:val="nil"/>
              <w:bottom w:val="nil"/>
              <w:right w:val="nil"/>
            </w:tcBorders>
            <w:shd w:val="clear" w:color="000000" w:fill="EAF1DD"/>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Místní komunikace </w:t>
            </w:r>
          </w:p>
        </w:tc>
        <w:tc>
          <w:tcPr>
            <w:tcW w:w="417" w:type="dxa"/>
            <w:tcBorders>
              <w:top w:val="nil"/>
              <w:left w:val="nil"/>
              <w:bottom w:val="nil"/>
              <w:right w:val="nil"/>
            </w:tcBorders>
            <w:shd w:val="clear" w:color="000000" w:fill="EAF1DD"/>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w:t>
            </w:r>
          </w:p>
        </w:tc>
        <w:tc>
          <w:tcPr>
            <w:tcW w:w="2875" w:type="dxa"/>
            <w:tcBorders>
              <w:top w:val="nil"/>
              <w:left w:val="nil"/>
              <w:bottom w:val="nil"/>
              <w:right w:val="nil"/>
            </w:tcBorders>
            <w:shd w:val="clear" w:color="000000" w:fill="F2DDD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Chodníky</w:t>
            </w:r>
          </w:p>
        </w:tc>
        <w:tc>
          <w:tcPr>
            <w:tcW w:w="420" w:type="dxa"/>
            <w:tcBorders>
              <w:top w:val="nil"/>
              <w:left w:val="nil"/>
              <w:bottom w:val="nil"/>
              <w:right w:val="nil"/>
            </w:tcBorders>
            <w:shd w:val="clear" w:color="000000" w:fill="F2DDD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58%</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w:t>
            </w:r>
          </w:p>
        </w:tc>
        <w:tc>
          <w:tcPr>
            <w:tcW w:w="3287" w:type="dxa"/>
            <w:tcBorders>
              <w:top w:val="nil"/>
              <w:left w:val="nil"/>
              <w:bottom w:val="nil"/>
              <w:right w:val="nil"/>
            </w:tcBorders>
            <w:shd w:val="clear" w:color="000000" w:fill="F2DDD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Chodníky</w:t>
            </w:r>
          </w:p>
        </w:tc>
        <w:tc>
          <w:tcPr>
            <w:tcW w:w="417" w:type="dxa"/>
            <w:tcBorders>
              <w:top w:val="nil"/>
              <w:left w:val="nil"/>
              <w:bottom w:val="nil"/>
              <w:right w:val="nil"/>
            </w:tcBorders>
            <w:shd w:val="clear" w:color="000000" w:fill="F2DDD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32%</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w:t>
            </w:r>
          </w:p>
        </w:tc>
        <w:tc>
          <w:tcPr>
            <w:tcW w:w="2875" w:type="dxa"/>
            <w:tcBorders>
              <w:top w:val="nil"/>
              <w:left w:val="nil"/>
              <w:bottom w:val="nil"/>
              <w:right w:val="nil"/>
            </w:tcBorders>
            <w:shd w:val="clear" w:color="000000" w:fill="E5E0E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Kanalizace</w:t>
            </w:r>
          </w:p>
        </w:tc>
        <w:tc>
          <w:tcPr>
            <w:tcW w:w="420" w:type="dxa"/>
            <w:tcBorders>
              <w:top w:val="nil"/>
              <w:left w:val="nil"/>
              <w:bottom w:val="nil"/>
              <w:right w:val="nil"/>
            </w:tcBorders>
            <w:shd w:val="clear" w:color="000000" w:fill="E5E0E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54%</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w:t>
            </w:r>
          </w:p>
        </w:tc>
        <w:tc>
          <w:tcPr>
            <w:tcW w:w="3287" w:type="dxa"/>
            <w:tcBorders>
              <w:top w:val="nil"/>
              <w:left w:val="nil"/>
              <w:bottom w:val="nil"/>
              <w:right w:val="nil"/>
            </w:tcBorders>
            <w:shd w:val="clear" w:color="000000" w:fill="C5BE97"/>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Dopravní obslužnost </w:t>
            </w:r>
          </w:p>
        </w:tc>
        <w:tc>
          <w:tcPr>
            <w:tcW w:w="417" w:type="dxa"/>
            <w:tcBorders>
              <w:top w:val="nil"/>
              <w:left w:val="nil"/>
              <w:bottom w:val="nil"/>
              <w:right w:val="nil"/>
            </w:tcBorders>
            <w:shd w:val="clear" w:color="000000" w:fill="C5BE97"/>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28%</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w:t>
            </w:r>
          </w:p>
        </w:tc>
        <w:tc>
          <w:tcPr>
            <w:tcW w:w="2875" w:type="dxa"/>
            <w:tcBorders>
              <w:top w:val="nil"/>
              <w:left w:val="nil"/>
              <w:bottom w:val="nil"/>
              <w:right w:val="nil"/>
            </w:tcBorders>
            <w:shd w:val="clear" w:color="000000" w:fill="FDE9D9"/>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Veřejné prostranství</w:t>
            </w:r>
          </w:p>
        </w:tc>
        <w:tc>
          <w:tcPr>
            <w:tcW w:w="420" w:type="dxa"/>
            <w:tcBorders>
              <w:top w:val="nil"/>
              <w:left w:val="nil"/>
              <w:bottom w:val="nil"/>
              <w:right w:val="nil"/>
            </w:tcBorders>
            <w:shd w:val="clear" w:color="000000" w:fill="FDE9D9"/>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54%</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w:t>
            </w:r>
          </w:p>
        </w:tc>
        <w:tc>
          <w:tcPr>
            <w:tcW w:w="3287" w:type="dxa"/>
            <w:tcBorders>
              <w:top w:val="nil"/>
              <w:left w:val="nil"/>
              <w:bottom w:val="nil"/>
              <w:right w:val="nil"/>
            </w:tcBorders>
            <w:shd w:val="clear" w:color="000000" w:fill="E6B9B8"/>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Bezpečnost v obci</w:t>
            </w:r>
          </w:p>
        </w:tc>
        <w:tc>
          <w:tcPr>
            <w:tcW w:w="417" w:type="dxa"/>
            <w:tcBorders>
              <w:top w:val="nil"/>
              <w:left w:val="nil"/>
              <w:bottom w:val="nil"/>
              <w:right w:val="nil"/>
            </w:tcBorders>
            <w:shd w:val="clear" w:color="000000" w:fill="E6B9B8"/>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28%</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w:t>
            </w:r>
          </w:p>
        </w:tc>
        <w:tc>
          <w:tcPr>
            <w:tcW w:w="2875" w:type="dxa"/>
            <w:tcBorders>
              <w:top w:val="nil"/>
              <w:left w:val="nil"/>
              <w:bottom w:val="nil"/>
              <w:right w:val="nil"/>
            </w:tcBorders>
            <w:shd w:val="clear" w:color="000000" w:fill="DDD9C3"/>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Veřejné osvětlení</w:t>
            </w:r>
          </w:p>
        </w:tc>
        <w:tc>
          <w:tcPr>
            <w:tcW w:w="420" w:type="dxa"/>
            <w:tcBorders>
              <w:top w:val="nil"/>
              <w:left w:val="nil"/>
              <w:bottom w:val="nil"/>
              <w:right w:val="nil"/>
            </w:tcBorders>
            <w:shd w:val="clear" w:color="000000" w:fill="DDD9C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50%</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w:t>
            </w:r>
          </w:p>
        </w:tc>
        <w:tc>
          <w:tcPr>
            <w:tcW w:w="3287" w:type="dxa"/>
            <w:tcBorders>
              <w:top w:val="nil"/>
              <w:left w:val="nil"/>
              <w:bottom w:val="nil"/>
              <w:right w:val="nil"/>
            </w:tcBorders>
            <w:shd w:val="clear" w:color="000000" w:fill="FCD5B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Nabídka kulturních aktivit </w:t>
            </w:r>
          </w:p>
        </w:tc>
        <w:tc>
          <w:tcPr>
            <w:tcW w:w="417" w:type="dxa"/>
            <w:tcBorders>
              <w:top w:val="nil"/>
              <w:left w:val="nil"/>
              <w:bottom w:val="nil"/>
              <w:right w:val="nil"/>
            </w:tcBorders>
            <w:shd w:val="clear" w:color="000000" w:fill="FCD5B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6</w:t>
            </w:r>
          </w:p>
        </w:tc>
        <w:tc>
          <w:tcPr>
            <w:tcW w:w="2875" w:type="dxa"/>
            <w:tcBorders>
              <w:top w:val="nil"/>
              <w:left w:val="nil"/>
              <w:bottom w:val="nil"/>
              <w:right w:val="nil"/>
            </w:tcBorders>
            <w:shd w:val="clear" w:color="000000" w:fill="D7E4B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Zeleň</w:t>
            </w:r>
          </w:p>
        </w:tc>
        <w:tc>
          <w:tcPr>
            <w:tcW w:w="420" w:type="dxa"/>
            <w:tcBorders>
              <w:top w:val="nil"/>
              <w:left w:val="nil"/>
              <w:bottom w:val="nil"/>
              <w:right w:val="nil"/>
            </w:tcBorders>
            <w:shd w:val="clear" w:color="000000" w:fill="D7E4B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42%</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6</w:t>
            </w:r>
          </w:p>
        </w:tc>
        <w:tc>
          <w:tcPr>
            <w:tcW w:w="3287" w:type="dxa"/>
            <w:tcBorders>
              <w:top w:val="nil"/>
              <w:left w:val="nil"/>
              <w:bottom w:val="nil"/>
              <w:right w:val="nil"/>
            </w:tcBorders>
            <w:shd w:val="clear" w:color="000000" w:fill="B8CCE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Nabídka volnočasových a zájmových ak</w:t>
            </w:r>
            <w:r>
              <w:rPr>
                <w:rFonts w:ascii="Calibri" w:hAnsi="Calibri" w:cs="Calibri"/>
                <w:color w:val="000000"/>
                <w:sz w:val="16"/>
                <w:szCs w:val="16"/>
                <w:lang w:eastAsia="cs-CZ"/>
              </w:rPr>
              <w:t>t</w:t>
            </w:r>
            <w:r w:rsidRPr="004472A3">
              <w:rPr>
                <w:rFonts w:ascii="Calibri" w:hAnsi="Calibri" w:cs="Calibri"/>
                <w:color w:val="000000"/>
                <w:sz w:val="16"/>
                <w:szCs w:val="16"/>
                <w:lang w:eastAsia="cs-CZ"/>
              </w:rPr>
              <w:t>ivit</w:t>
            </w:r>
          </w:p>
        </w:tc>
        <w:tc>
          <w:tcPr>
            <w:tcW w:w="417" w:type="dxa"/>
            <w:tcBorders>
              <w:top w:val="nil"/>
              <w:left w:val="nil"/>
              <w:bottom w:val="nil"/>
              <w:right w:val="nil"/>
            </w:tcBorders>
            <w:shd w:val="clear" w:color="000000" w:fill="B8CCE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7</w:t>
            </w:r>
          </w:p>
        </w:tc>
        <w:tc>
          <w:tcPr>
            <w:tcW w:w="2875" w:type="dxa"/>
            <w:tcBorders>
              <w:top w:val="nil"/>
              <w:left w:val="nil"/>
              <w:bottom w:val="nil"/>
              <w:right w:val="nil"/>
            </w:tcBorders>
            <w:shd w:val="clear" w:color="000000" w:fill="F2F2F2"/>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Veřejný rozhlas</w:t>
            </w:r>
          </w:p>
        </w:tc>
        <w:tc>
          <w:tcPr>
            <w:tcW w:w="420" w:type="dxa"/>
            <w:tcBorders>
              <w:top w:val="nil"/>
              <w:left w:val="nil"/>
              <w:bottom w:val="nil"/>
              <w:right w:val="nil"/>
            </w:tcBorders>
            <w:shd w:val="clear" w:color="000000" w:fill="F2F2F2"/>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38%</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7</w:t>
            </w:r>
          </w:p>
        </w:tc>
        <w:tc>
          <w:tcPr>
            <w:tcW w:w="3287" w:type="dxa"/>
            <w:tcBorders>
              <w:top w:val="nil"/>
              <w:left w:val="nil"/>
              <w:bottom w:val="nil"/>
              <w:right w:val="nil"/>
            </w:tcBorders>
            <w:shd w:val="clear" w:color="000000" w:fill="E5E0E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Kanalizace</w:t>
            </w:r>
          </w:p>
        </w:tc>
        <w:tc>
          <w:tcPr>
            <w:tcW w:w="417" w:type="dxa"/>
            <w:tcBorders>
              <w:top w:val="nil"/>
              <w:left w:val="nil"/>
              <w:bottom w:val="nil"/>
              <w:right w:val="nil"/>
            </w:tcBorders>
            <w:shd w:val="clear" w:color="000000" w:fill="E5E0E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20%</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8</w:t>
            </w:r>
          </w:p>
        </w:tc>
        <w:tc>
          <w:tcPr>
            <w:tcW w:w="2875" w:type="dxa"/>
            <w:tcBorders>
              <w:top w:val="nil"/>
              <w:left w:val="nil"/>
              <w:bottom w:val="nil"/>
              <w:right w:val="nil"/>
            </w:tcBorders>
            <w:shd w:val="clear" w:color="000000" w:fill="FCD5B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Nabídka kulturních aktivit</w:t>
            </w:r>
          </w:p>
        </w:tc>
        <w:tc>
          <w:tcPr>
            <w:tcW w:w="420" w:type="dxa"/>
            <w:tcBorders>
              <w:top w:val="nil"/>
              <w:left w:val="nil"/>
              <w:bottom w:val="nil"/>
              <w:right w:val="nil"/>
            </w:tcBorders>
            <w:shd w:val="clear" w:color="000000" w:fill="FCD5B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38%</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8</w:t>
            </w:r>
          </w:p>
        </w:tc>
        <w:tc>
          <w:tcPr>
            <w:tcW w:w="3287" w:type="dxa"/>
            <w:tcBorders>
              <w:top w:val="nil"/>
              <w:left w:val="nil"/>
              <w:bottom w:val="nil"/>
              <w:right w:val="nil"/>
            </w:tcBorders>
            <w:shd w:val="clear" w:color="000000" w:fill="DDD9C3"/>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Veřejné osvětlení</w:t>
            </w:r>
          </w:p>
        </w:tc>
        <w:tc>
          <w:tcPr>
            <w:tcW w:w="417" w:type="dxa"/>
            <w:tcBorders>
              <w:top w:val="nil"/>
              <w:left w:val="nil"/>
              <w:bottom w:val="nil"/>
              <w:right w:val="nil"/>
            </w:tcBorders>
            <w:shd w:val="clear" w:color="000000" w:fill="DDD9C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19%</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9</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Podpora aktiv dětí a mládeže</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38%</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9</w:t>
            </w:r>
          </w:p>
        </w:tc>
        <w:tc>
          <w:tcPr>
            <w:tcW w:w="3287" w:type="dxa"/>
            <w:tcBorders>
              <w:top w:val="nil"/>
              <w:left w:val="nil"/>
              <w:bottom w:val="nil"/>
              <w:right w:val="nil"/>
            </w:tcBorders>
            <w:shd w:val="clear" w:color="000000" w:fill="D99795"/>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Mětský mobiliář </w:t>
            </w:r>
          </w:p>
        </w:tc>
        <w:tc>
          <w:tcPr>
            <w:tcW w:w="417" w:type="dxa"/>
            <w:tcBorders>
              <w:top w:val="nil"/>
              <w:left w:val="nil"/>
              <w:bottom w:val="nil"/>
              <w:right w:val="nil"/>
            </w:tcBorders>
            <w:shd w:val="clear" w:color="000000" w:fill="D99795"/>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19%</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10</w:t>
            </w:r>
          </w:p>
        </w:tc>
        <w:tc>
          <w:tcPr>
            <w:tcW w:w="2875" w:type="dxa"/>
            <w:tcBorders>
              <w:top w:val="nil"/>
              <w:left w:val="nil"/>
              <w:bottom w:val="nil"/>
              <w:right w:val="nil"/>
            </w:tcBorders>
            <w:shd w:val="clear" w:color="000000" w:fill="D99795"/>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Městský mobiliář</w:t>
            </w:r>
          </w:p>
        </w:tc>
        <w:tc>
          <w:tcPr>
            <w:tcW w:w="420" w:type="dxa"/>
            <w:tcBorders>
              <w:top w:val="nil"/>
              <w:left w:val="nil"/>
              <w:bottom w:val="nil"/>
              <w:right w:val="nil"/>
            </w:tcBorders>
            <w:shd w:val="clear" w:color="000000" w:fill="D99795"/>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33%</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10</w:t>
            </w:r>
          </w:p>
        </w:tc>
        <w:tc>
          <w:tcPr>
            <w:tcW w:w="3287" w:type="dxa"/>
            <w:tcBorders>
              <w:top w:val="nil"/>
              <w:left w:val="nil"/>
              <w:bottom w:val="nil"/>
              <w:right w:val="nil"/>
            </w:tcBorders>
            <w:shd w:val="clear" w:color="000000" w:fill="95B3D7"/>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Pr>
                <w:rFonts w:ascii="Calibri" w:hAnsi="Calibri" w:cs="Calibri"/>
                <w:color w:val="000000"/>
                <w:sz w:val="16"/>
                <w:szCs w:val="16"/>
                <w:lang w:eastAsia="cs-CZ"/>
              </w:rPr>
              <w:t>Nab</w:t>
            </w:r>
            <w:r w:rsidRPr="004472A3">
              <w:rPr>
                <w:rFonts w:ascii="Calibri" w:hAnsi="Calibri" w:cs="Calibri"/>
                <w:color w:val="000000"/>
                <w:sz w:val="16"/>
                <w:szCs w:val="16"/>
                <w:lang w:eastAsia="cs-CZ"/>
              </w:rPr>
              <w:t>ídka sportovních aktivit</w:t>
            </w:r>
          </w:p>
        </w:tc>
        <w:tc>
          <w:tcPr>
            <w:tcW w:w="417" w:type="dxa"/>
            <w:tcBorders>
              <w:top w:val="nil"/>
              <w:left w:val="nil"/>
              <w:bottom w:val="nil"/>
              <w:right w:val="nil"/>
            </w:tcBorders>
            <w:shd w:val="clear" w:color="000000" w:fill="95B3D7"/>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18%</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11</w:t>
            </w:r>
          </w:p>
        </w:tc>
        <w:tc>
          <w:tcPr>
            <w:tcW w:w="2875" w:type="dxa"/>
            <w:tcBorders>
              <w:top w:val="nil"/>
              <w:left w:val="nil"/>
              <w:bottom w:val="nil"/>
              <w:right w:val="nil"/>
            </w:tcBorders>
            <w:shd w:val="clear" w:color="000000" w:fill="C2D69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Vodní plochy</w:t>
            </w:r>
          </w:p>
        </w:tc>
        <w:tc>
          <w:tcPr>
            <w:tcW w:w="420" w:type="dxa"/>
            <w:tcBorders>
              <w:top w:val="nil"/>
              <w:left w:val="nil"/>
              <w:bottom w:val="nil"/>
              <w:right w:val="nil"/>
            </w:tcBorders>
            <w:shd w:val="clear" w:color="000000" w:fill="C2D69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29%</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11</w:t>
            </w:r>
          </w:p>
        </w:tc>
        <w:tc>
          <w:tcPr>
            <w:tcW w:w="3287" w:type="dxa"/>
            <w:tcBorders>
              <w:top w:val="nil"/>
              <w:left w:val="nil"/>
              <w:bottom w:val="nil"/>
              <w:right w:val="nil"/>
            </w:tcBorders>
            <w:shd w:val="clear" w:color="000000" w:fill="FDE9D9"/>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Veřejné prostranství </w:t>
            </w:r>
          </w:p>
        </w:tc>
        <w:tc>
          <w:tcPr>
            <w:tcW w:w="417" w:type="dxa"/>
            <w:tcBorders>
              <w:top w:val="nil"/>
              <w:left w:val="nil"/>
              <w:bottom w:val="nil"/>
              <w:right w:val="nil"/>
            </w:tcBorders>
            <w:shd w:val="clear" w:color="000000" w:fill="FDE9D9"/>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12</w:t>
            </w:r>
          </w:p>
        </w:tc>
        <w:tc>
          <w:tcPr>
            <w:tcW w:w="2875" w:type="dxa"/>
            <w:tcBorders>
              <w:top w:val="nil"/>
              <w:left w:val="nil"/>
              <w:bottom w:val="nil"/>
              <w:right w:val="nil"/>
            </w:tcBorders>
            <w:shd w:val="clear" w:color="000000" w:fill="E6B9B8"/>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Bezpečnost v obci</w:t>
            </w:r>
          </w:p>
        </w:tc>
        <w:tc>
          <w:tcPr>
            <w:tcW w:w="420" w:type="dxa"/>
            <w:tcBorders>
              <w:top w:val="nil"/>
              <w:left w:val="nil"/>
              <w:bottom w:val="nil"/>
              <w:right w:val="nil"/>
            </w:tcBorders>
            <w:shd w:val="clear" w:color="000000" w:fill="E6B9B8"/>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29%</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12</w:t>
            </w:r>
          </w:p>
        </w:tc>
        <w:tc>
          <w:tcPr>
            <w:tcW w:w="3287" w:type="dxa"/>
            <w:tcBorders>
              <w:top w:val="nil"/>
              <w:left w:val="nil"/>
              <w:bottom w:val="nil"/>
              <w:right w:val="nil"/>
            </w:tcBorders>
            <w:shd w:val="clear" w:color="000000" w:fill="C2D69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Vodní plochy</w:t>
            </w:r>
          </w:p>
        </w:tc>
        <w:tc>
          <w:tcPr>
            <w:tcW w:w="417" w:type="dxa"/>
            <w:tcBorders>
              <w:top w:val="nil"/>
              <w:left w:val="nil"/>
              <w:bottom w:val="nil"/>
              <w:right w:val="nil"/>
            </w:tcBorders>
            <w:shd w:val="clear" w:color="000000" w:fill="C2D69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13</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Péče o krajinu</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25%</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13</w:t>
            </w:r>
          </w:p>
        </w:tc>
        <w:tc>
          <w:tcPr>
            <w:tcW w:w="3287" w:type="dxa"/>
            <w:tcBorders>
              <w:top w:val="nil"/>
              <w:left w:val="nil"/>
              <w:bottom w:val="nil"/>
              <w:right w:val="nil"/>
            </w:tcBorders>
            <w:shd w:val="clear" w:color="000000" w:fill="D7E4B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Zeleň</w:t>
            </w:r>
          </w:p>
        </w:tc>
        <w:tc>
          <w:tcPr>
            <w:tcW w:w="417" w:type="dxa"/>
            <w:tcBorders>
              <w:top w:val="nil"/>
              <w:left w:val="nil"/>
              <w:bottom w:val="nil"/>
              <w:right w:val="nil"/>
            </w:tcBorders>
            <w:shd w:val="clear" w:color="000000" w:fill="D7E4B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13%</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14</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Podpora podnikání</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25%</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14</w:t>
            </w:r>
          </w:p>
        </w:tc>
        <w:tc>
          <w:tcPr>
            <w:tcW w:w="3287" w:type="dxa"/>
            <w:tcBorders>
              <w:top w:val="nil"/>
              <w:left w:val="nil"/>
              <w:bottom w:val="nil"/>
              <w:right w:val="nil"/>
            </w:tcBorders>
            <w:shd w:val="clear" w:color="000000" w:fill="75923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Pr>
                <w:rFonts w:ascii="Calibri" w:hAnsi="Calibri" w:cs="Calibri"/>
                <w:color w:val="000000"/>
                <w:sz w:val="16"/>
                <w:szCs w:val="16"/>
                <w:lang w:eastAsia="cs-CZ"/>
              </w:rPr>
              <w:t>Zdravotnic</w:t>
            </w:r>
            <w:r w:rsidRPr="004472A3">
              <w:rPr>
                <w:rFonts w:ascii="Calibri" w:hAnsi="Calibri" w:cs="Calibri"/>
                <w:color w:val="000000"/>
                <w:sz w:val="16"/>
                <w:szCs w:val="16"/>
                <w:lang w:eastAsia="cs-CZ"/>
              </w:rPr>
              <w:t>t</w:t>
            </w:r>
            <w:r>
              <w:rPr>
                <w:rFonts w:ascii="Calibri" w:hAnsi="Calibri" w:cs="Calibri"/>
                <w:color w:val="000000"/>
                <w:sz w:val="16"/>
                <w:szCs w:val="16"/>
                <w:lang w:eastAsia="cs-CZ"/>
              </w:rPr>
              <w:t>v</w:t>
            </w:r>
            <w:r w:rsidRPr="004472A3">
              <w:rPr>
                <w:rFonts w:ascii="Calibri" w:hAnsi="Calibri" w:cs="Calibri"/>
                <w:color w:val="000000"/>
                <w:sz w:val="16"/>
                <w:szCs w:val="16"/>
                <w:lang w:eastAsia="cs-CZ"/>
              </w:rPr>
              <w:t xml:space="preserve">í </w:t>
            </w:r>
          </w:p>
        </w:tc>
        <w:tc>
          <w:tcPr>
            <w:tcW w:w="417" w:type="dxa"/>
            <w:tcBorders>
              <w:top w:val="nil"/>
              <w:left w:val="nil"/>
              <w:bottom w:val="nil"/>
              <w:right w:val="nil"/>
            </w:tcBorders>
            <w:shd w:val="clear" w:color="000000" w:fill="75923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13%</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15</w:t>
            </w:r>
          </w:p>
        </w:tc>
        <w:tc>
          <w:tcPr>
            <w:tcW w:w="2875" w:type="dxa"/>
            <w:tcBorders>
              <w:top w:val="nil"/>
              <w:left w:val="nil"/>
              <w:bottom w:val="nil"/>
              <w:right w:val="nil"/>
            </w:tcBorders>
            <w:shd w:val="clear" w:color="000000" w:fill="31849B"/>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Infrastruktura pro cestovní ruch</w:t>
            </w:r>
          </w:p>
        </w:tc>
        <w:tc>
          <w:tcPr>
            <w:tcW w:w="420" w:type="dxa"/>
            <w:tcBorders>
              <w:top w:val="nil"/>
              <w:left w:val="nil"/>
              <w:bottom w:val="nil"/>
              <w:right w:val="nil"/>
            </w:tcBorders>
            <w:shd w:val="clear" w:color="000000" w:fill="31849B"/>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21%</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15</w:t>
            </w:r>
          </w:p>
        </w:tc>
        <w:tc>
          <w:tcPr>
            <w:tcW w:w="3287" w:type="dxa"/>
            <w:tcBorders>
              <w:top w:val="nil"/>
              <w:left w:val="nil"/>
              <w:bottom w:val="nil"/>
              <w:right w:val="nil"/>
            </w:tcBorders>
            <w:shd w:val="clear" w:color="000000" w:fill="0070C0"/>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Obchodní infraskruktura </w:t>
            </w:r>
          </w:p>
        </w:tc>
        <w:tc>
          <w:tcPr>
            <w:tcW w:w="417" w:type="dxa"/>
            <w:tcBorders>
              <w:top w:val="nil"/>
              <w:left w:val="nil"/>
              <w:bottom w:val="nil"/>
              <w:right w:val="nil"/>
            </w:tcBorders>
            <w:shd w:val="clear" w:color="000000" w:fill="0070C0"/>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11%</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16</w:t>
            </w:r>
          </w:p>
        </w:tc>
        <w:tc>
          <w:tcPr>
            <w:tcW w:w="2875" w:type="dxa"/>
            <w:tcBorders>
              <w:top w:val="nil"/>
              <w:left w:val="nil"/>
              <w:bottom w:val="nil"/>
              <w:right w:val="nil"/>
            </w:tcBorders>
            <w:shd w:val="clear" w:color="000000" w:fill="95B3D7"/>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Nabídka sportovních aktivit</w:t>
            </w:r>
          </w:p>
        </w:tc>
        <w:tc>
          <w:tcPr>
            <w:tcW w:w="420" w:type="dxa"/>
            <w:tcBorders>
              <w:top w:val="nil"/>
              <w:left w:val="nil"/>
              <w:bottom w:val="nil"/>
              <w:right w:val="nil"/>
            </w:tcBorders>
            <w:shd w:val="clear" w:color="000000" w:fill="95B3D7"/>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21%</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16</w:t>
            </w:r>
          </w:p>
        </w:tc>
        <w:tc>
          <w:tcPr>
            <w:tcW w:w="3287" w:type="dxa"/>
            <w:tcBorders>
              <w:top w:val="nil"/>
              <w:left w:val="nil"/>
              <w:bottom w:val="nil"/>
              <w:right w:val="nil"/>
            </w:tcBorders>
            <w:shd w:val="clear" w:color="000000" w:fill="E46D0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Sociální oblast</w:t>
            </w:r>
          </w:p>
        </w:tc>
        <w:tc>
          <w:tcPr>
            <w:tcW w:w="417" w:type="dxa"/>
            <w:tcBorders>
              <w:top w:val="nil"/>
              <w:left w:val="nil"/>
              <w:bottom w:val="nil"/>
              <w:right w:val="nil"/>
            </w:tcBorders>
            <w:shd w:val="clear" w:color="000000" w:fill="E46D0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11%</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2875" w:type="dxa"/>
            <w:tcBorders>
              <w:top w:val="nil"/>
              <w:left w:val="nil"/>
              <w:bottom w:val="nil"/>
              <w:right w:val="nil"/>
            </w:tcBorders>
            <w:shd w:val="clear" w:color="000000" w:fill="FAC090"/>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Plynofikace</w:t>
            </w:r>
          </w:p>
        </w:tc>
        <w:tc>
          <w:tcPr>
            <w:tcW w:w="420" w:type="dxa"/>
            <w:tcBorders>
              <w:top w:val="nil"/>
              <w:left w:val="nil"/>
              <w:bottom w:val="nil"/>
              <w:right w:val="nil"/>
            </w:tcBorders>
            <w:shd w:val="clear" w:color="000000" w:fill="FAC090"/>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287" w:type="dxa"/>
            <w:tcBorders>
              <w:top w:val="nil"/>
              <w:left w:val="nil"/>
              <w:bottom w:val="nil"/>
              <w:right w:val="nil"/>
            </w:tcBorders>
            <w:shd w:val="clear" w:color="000000" w:fill="CCC0D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 xml:space="preserve">Životnost prostředí </w:t>
            </w:r>
          </w:p>
        </w:tc>
        <w:tc>
          <w:tcPr>
            <w:tcW w:w="417" w:type="dxa"/>
            <w:tcBorders>
              <w:top w:val="nil"/>
              <w:left w:val="nil"/>
              <w:bottom w:val="nil"/>
              <w:right w:val="nil"/>
            </w:tcBorders>
            <w:shd w:val="clear" w:color="000000" w:fill="CCC0D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10%</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18</w:t>
            </w:r>
          </w:p>
        </w:tc>
        <w:tc>
          <w:tcPr>
            <w:tcW w:w="2875" w:type="dxa"/>
            <w:tcBorders>
              <w:top w:val="nil"/>
              <w:left w:val="nil"/>
              <w:bottom w:val="nil"/>
              <w:right w:val="nil"/>
            </w:tcBorders>
            <w:shd w:val="clear" w:color="000000" w:fill="75923C"/>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Zdravotnictví</w:t>
            </w:r>
          </w:p>
        </w:tc>
        <w:tc>
          <w:tcPr>
            <w:tcW w:w="420" w:type="dxa"/>
            <w:tcBorders>
              <w:top w:val="nil"/>
              <w:left w:val="nil"/>
              <w:bottom w:val="nil"/>
              <w:right w:val="nil"/>
            </w:tcBorders>
            <w:shd w:val="clear" w:color="000000" w:fill="75923C"/>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18</w:t>
            </w:r>
          </w:p>
        </w:tc>
        <w:tc>
          <w:tcPr>
            <w:tcW w:w="3287" w:type="dxa"/>
            <w:tcBorders>
              <w:top w:val="nil"/>
              <w:left w:val="nil"/>
              <w:bottom w:val="nil"/>
              <w:right w:val="nil"/>
            </w:tcBorders>
            <w:shd w:val="clear" w:color="000000" w:fill="948B5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Další služby</w:t>
            </w:r>
          </w:p>
        </w:tc>
        <w:tc>
          <w:tcPr>
            <w:tcW w:w="417" w:type="dxa"/>
            <w:tcBorders>
              <w:top w:val="nil"/>
              <w:left w:val="nil"/>
              <w:bottom w:val="nil"/>
              <w:right w:val="nil"/>
            </w:tcBorders>
            <w:shd w:val="clear" w:color="000000" w:fill="948B5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10%</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19</w:t>
            </w:r>
          </w:p>
        </w:tc>
        <w:tc>
          <w:tcPr>
            <w:tcW w:w="2875" w:type="dxa"/>
            <w:tcBorders>
              <w:top w:val="nil"/>
              <w:left w:val="nil"/>
              <w:bottom w:val="nil"/>
              <w:right w:val="nil"/>
            </w:tcBorders>
            <w:shd w:val="clear" w:color="000000" w:fill="E46D0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Sociální oblast</w:t>
            </w:r>
          </w:p>
        </w:tc>
        <w:tc>
          <w:tcPr>
            <w:tcW w:w="420" w:type="dxa"/>
            <w:tcBorders>
              <w:top w:val="nil"/>
              <w:left w:val="nil"/>
              <w:bottom w:val="nil"/>
              <w:right w:val="nil"/>
            </w:tcBorders>
            <w:shd w:val="clear" w:color="000000" w:fill="E46D0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19</w:t>
            </w:r>
          </w:p>
        </w:tc>
        <w:tc>
          <w:tcPr>
            <w:tcW w:w="3287" w:type="dxa"/>
            <w:tcBorders>
              <w:top w:val="nil"/>
              <w:left w:val="nil"/>
              <w:bottom w:val="nil"/>
              <w:right w:val="nil"/>
            </w:tcBorders>
            <w:shd w:val="clear" w:color="000000" w:fill="FAC090"/>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Plynofikace</w:t>
            </w:r>
          </w:p>
        </w:tc>
        <w:tc>
          <w:tcPr>
            <w:tcW w:w="417" w:type="dxa"/>
            <w:tcBorders>
              <w:top w:val="nil"/>
              <w:left w:val="nil"/>
              <w:bottom w:val="nil"/>
              <w:right w:val="nil"/>
            </w:tcBorders>
            <w:shd w:val="clear" w:color="000000" w:fill="FAC090"/>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8%</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20</w:t>
            </w:r>
          </w:p>
        </w:tc>
        <w:tc>
          <w:tcPr>
            <w:tcW w:w="2875" w:type="dxa"/>
            <w:tcBorders>
              <w:top w:val="nil"/>
              <w:left w:val="nil"/>
              <w:bottom w:val="nil"/>
              <w:right w:val="nil"/>
            </w:tcBorders>
            <w:shd w:val="clear" w:color="000000" w:fill="0070C0"/>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Obchodní infrastruktura</w:t>
            </w:r>
          </w:p>
        </w:tc>
        <w:tc>
          <w:tcPr>
            <w:tcW w:w="420" w:type="dxa"/>
            <w:tcBorders>
              <w:top w:val="nil"/>
              <w:left w:val="nil"/>
              <w:bottom w:val="nil"/>
              <w:right w:val="nil"/>
            </w:tcBorders>
            <w:shd w:val="clear" w:color="000000" w:fill="0070C0"/>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20</w:t>
            </w:r>
          </w:p>
        </w:tc>
        <w:tc>
          <w:tcPr>
            <w:tcW w:w="3287" w:type="dxa"/>
            <w:tcBorders>
              <w:top w:val="nil"/>
              <w:left w:val="nil"/>
              <w:bottom w:val="nil"/>
              <w:right w:val="nil"/>
            </w:tcBorders>
            <w:shd w:val="clear" w:color="000000" w:fill="31849B"/>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Infrastruktura pro cestovní ruch</w:t>
            </w:r>
          </w:p>
        </w:tc>
        <w:tc>
          <w:tcPr>
            <w:tcW w:w="417" w:type="dxa"/>
            <w:tcBorders>
              <w:top w:val="nil"/>
              <w:left w:val="nil"/>
              <w:bottom w:val="nil"/>
              <w:right w:val="nil"/>
            </w:tcBorders>
            <w:shd w:val="clear" w:color="000000" w:fill="31849B"/>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5%</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21</w:t>
            </w:r>
          </w:p>
        </w:tc>
        <w:tc>
          <w:tcPr>
            <w:tcW w:w="2875" w:type="dxa"/>
            <w:tcBorders>
              <w:top w:val="nil"/>
              <w:left w:val="nil"/>
              <w:bottom w:val="nil"/>
              <w:right w:val="nil"/>
            </w:tcBorders>
            <w:shd w:val="clear" w:color="000000" w:fill="B8CCE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Nabídka volnočasových aktivit</w:t>
            </w:r>
          </w:p>
        </w:tc>
        <w:tc>
          <w:tcPr>
            <w:tcW w:w="420" w:type="dxa"/>
            <w:tcBorders>
              <w:top w:val="nil"/>
              <w:left w:val="nil"/>
              <w:bottom w:val="nil"/>
              <w:right w:val="nil"/>
            </w:tcBorders>
            <w:shd w:val="clear" w:color="000000" w:fill="B8CCE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17%</w:t>
            </w:r>
          </w:p>
        </w:tc>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21</w:t>
            </w:r>
          </w:p>
        </w:tc>
        <w:tc>
          <w:tcPr>
            <w:tcW w:w="3287" w:type="dxa"/>
            <w:tcBorders>
              <w:top w:val="nil"/>
              <w:left w:val="nil"/>
              <w:bottom w:val="nil"/>
              <w:right w:val="nil"/>
            </w:tcBorders>
            <w:shd w:val="clear" w:color="000000" w:fill="93CDDD"/>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Školství</w:t>
            </w:r>
          </w:p>
        </w:tc>
        <w:tc>
          <w:tcPr>
            <w:tcW w:w="417" w:type="dxa"/>
            <w:tcBorders>
              <w:top w:val="nil"/>
              <w:left w:val="nil"/>
              <w:bottom w:val="nil"/>
              <w:right w:val="nil"/>
            </w:tcBorders>
            <w:shd w:val="clear" w:color="000000" w:fill="93CDDD"/>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w:t>
            </w: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22</w:t>
            </w:r>
          </w:p>
        </w:tc>
        <w:tc>
          <w:tcPr>
            <w:tcW w:w="2875" w:type="dxa"/>
            <w:tcBorders>
              <w:top w:val="nil"/>
              <w:left w:val="nil"/>
              <w:bottom w:val="nil"/>
              <w:right w:val="nil"/>
            </w:tcBorders>
            <w:shd w:val="clear" w:color="000000" w:fill="CCC0DA"/>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Životní prostředí</w:t>
            </w:r>
          </w:p>
        </w:tc>
        <w:tc>
          <w:tcPr>
            <w:tcW w:w="420" w:type="dxa"/>
            <w:tcBorders>
              <w:top w:val="nil"/>
              <w:left w:val="nil"/>
              <w:bottom w:val="nil"/>
              <w:right w:val="nil"/>
            </w:tcBorders>
            <w:shd w:val="clear" w:color="000000" w:fill="CCC0DA"/>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13%</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23</w:t>
            </w:r>
          </w:p>
        </w:tc>
        <w:tc>
          <w:tcPr>
            <w:tcW w:w="2875" w:type="dxa"/>
            <w:tcBorders>
              <w:top w:val="nil"/>
              <w:left w:val="nil"/>
              <w:bottom w:val="nil"/>
              <w:right w:val="nil"/>
            </w:tcBorders>
            <w:shd w:val="clear" w:color="000000" w:fill="C5BE97"/>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Dopravní obslužnost</w:t>
            </w:r>
          </w:p>
        </w:tc>
        <w:tc>
          <w:tcPr>
            <w:tcW w:w="420" w:type="dxa"/>
            <w:tcBorders>
              <w:top w:val="nil"/>
              <w:left w:val="nil"/>
              <w:bottom w:val="nil"/>
              <w:right w:val="nil"/>
            </w:tcBorders>
            <w:shd w:val="clear" w:color="000000" w:fill="C5BE97"/>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8%</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24</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Obnova lesů</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8%</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25</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Zemědělství</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26</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Komunální odpad</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4%</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27</w:t>
            </w:r>
          </w:p>
        </w:tc>
        <w:tc>
          <w:tcPr>
            <w:tcW w:w="2875" w:type="dxa"/>
            <w:tcBorders>
              <w:top w:val="nil"/>
              <w:left w:val="nil"/>
              <w:bottom w:val="nil"/>
              <w:right w:val="nil"/>
            </w:tcBorders>
            <w:shd w:val="clear" w:color="000000" w:fill="93CDDD"/>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Školství</w:t>
            </w:r>
          </w:p>
        </w:tc>
        <w:tc>
          <w:tcPr>
            <w:tcW w:w="420" w:type="dxa"/>
            <w:tcBorders>
              <w:top w:val="nil"/>
              <w:left w:val="nil"/>
              <w:bottom w:val="nil"/>
              <w:right w:val="nil"/>
            </w:tcBorders>
            <w:shd w:val="clear" w:color="000000" w:fill="93CDDD"/>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0%</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28</w:t>
            </w:r>
          </w:p>
        </w:tc>
        <w:tc>
          <w:tcPr>
            <w:tcW w:w="2875" w:type="dxa"/>
            <w:tcBorders>
              <w:top w:val="nil"/>
              <w:left w:val="nil"/>
              <w:bottom w:val="nil"/>
              <w:right w:val="nil"/>
            </w:tcBorders>
            <w:shd w:val="clear" w:color="000000" w:fill="948B54"/>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Další služby</w:t>
            </w:r>
          </w:p>
        </w:tc>
        <w:tc>
          <w:tcPr>
            <w:tcW w:w="420" w:type="dxa"/>
            <w:tcBorders>
              <w:top w:val="nil"/>
              <w:left w:val="nil"/>
              <w:bottom w:val="nil"/>
              <w:right w:val="nil"/>
            </w:tcBorders>
            <w:shd w:val="clear" w:color="000000" w:fill="948B54"/>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0%</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r w:rsidR="0028397B" w:rsidRPr="004472A3" w:rsidTr="00B14384">
        <w:trPr>
          <w:trHeight w:val="225"/>
          <w:jc w:val="center"/>
        </w:trPr>
        <w:tc>
          <w:tcPr>
            <w:tcW w:w="303" w:type="dxa"/>
            <w:tcBorders>
              <w:top w:val="nil"/>
              <w:left w:val="nil"/>
              <w:bottom w:val="nil"/>
              <w:right w:val="nil"/>
            </w:tcBorders>
            <w:shd w:val="clear" w:color="000000" w:fill="8DB4E3"/>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29</w:t>
            </w:r>
          </w:p>
        </w:tc>
        <w:tc>
          <w:tcPr>
            <w:tcW w:w="2875"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r w:rsidRPr="004472A3">
              <w:rPr>
                <w:rFonts w:ascii="Calibri" w:hAnsi="Calibri" w:cs="Calibri"/>
                <w:color w:val="000000"/>
                <w:sz w:val="16"/>
                <w:szCs w:val="16"/>
                <w:lang w:eastAsia="cs-CZ"/>
              </w:rPr>
              <w:t>Vzdělávání občanů</w:t>
            </w:r>
          </w:p>
        </w:tc>
        <w:tc>
          <w:tcPr>
            <w:tcW w:w="420"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r w:rsidRPr="004472A3">
              <w:rPr>
                <w:rFonts w:ascii="Calibri" w:hAnsi="Calibri" w:cs="Calibri"/>
                <w:color w:val="000000"/>
                <w:sz w:val="16"/>
                <w:szCs w:val="16"/>
                <w:lang w:eastAsia="cs-CZ"/>
              </w:rPr>
              <w:t>0%</w:t>
            </w:r>
          </w:p>
        </w:tc>
        <w:tc>
          <w:tcPr>
            <w:tcW w:w="303"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c>
          <w:tcPr>
            <w:tcW w:w="328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left"/>
              <w:rPr>
                <w:rFonts w:ascii="Calibri" w:hAnsi="Calibri" w:cs="Calibri"/>
                <w:color w:val="000000"/>
                <w:sz w:val="16"/>
                <w:szCs w:val="16"/>
                <w:lang w:eastAsia="cs-CZ"/>
              </w:rPr>
            </w:pPr>
          </w:p>
        </w:tc>
        <w:tc>
          <w:tcPr>
            <w:tcW w:w="417" w:type="dxa"/>
            <w:tcBorders>
              <w:top w:val="nil"/>
              <w:left w:val="nil"/>
              <w:bottom w:val="nil"/>
              <w:right w:val="nil"/>
            </w:tcBorders>
            <w:shd w:val="clear" w:color="auto" w:fill="auto"/>
            <w:noWrap/>
            <w:vAlign w:val="bottom"/>
            <w:hideMark/>
          </w:tcPr>
          <w:p w:rsidR="0028397B" w:rsidRPr="004472A3" w:rsidRDefault="0028397B" w:rsidP="00B14384">
            <w:pPr>
              <w:suppressAutoHyphens w:val="0"/>
              <w:spacing w:after="0"/>
              <w:jc w:val="center"/>
              <w:rPr>
                <w:rFonts w:ascii="Calibri" w:hAnsi="Calibri" w:cs="Calibri"/>
                <w:color w:val="000000"/>
                <w:sz w:val="16"/>
                <w:szCs w:val="16"/>
                <w:lang w:eastAsia="cs-CZ"/>
              </w:rPr>
            </w:pPr>
          </w:p>
        </w:tc>
      </w:tr>
    </w:tbl>
    <w:p w:rsidR="0028397B" w:rsidRPr="00582A0F" w:rsidRDefault="0028397B" w:rsidP="00582A0F">
      <w:pPr>
        <w:ind w:firstLine="708"/>
      </w:pPr>
      <w:r w:rsidRPr="00582A0F">
        <w:t>Zdroj: dotazníkové šetření</w:t>
      </w:r>
    </w:p>
    <w:p w:rsidR="0028397B" w:rsidRDefault="0028397B" w:rsidP="001574DD">
      <w:r>
        <w:t>Pozn.: nutno zohlednit skutečnost, že zástupci obcí mohli v dotazníku zvolit až 10 oblastí, zatímco občané pouze 5 a měli o něco méně možností na výběr, protože se předpokládalo, že některé oblasti budou hodnotitelné pouze z pohledu zástupců obcí.</w:t>
      </w:r>
    </w:p>
    <w:p w:rsidR="0028397B" w:rsidRPr="001574DD" w:rsidRDefault="0028397B" w:rsidP="001574DD"/>
    <w:tbl>
      <w:tblPr>
        <w:tblStyle w:val="Mkatabulky"/>
        <w:tblW w:w="0" w:type="auto"/>
        <w:tblLook w:val="04A0"/>
      </w:tblPr>
      <w:tblGrid>
        <w:gridCol w:w="4606"/>
        <w:gridCol w:w="4606"/>
      </w:tblGrid>
      <w:tr w:rsidR="0050130D" w:rsidTr="002D6B2C">
        <w:trPr>
          <w:cantSplit/>
        </w:trPr>
        <w:tc>
          <w:tcPr>
            <w:tcW w:w="4606" w:type="dxa"/>
            <w:shd w:val="clear" w:color="auto" w:fill="D6E3BC" w:themeFill="accent3" w:themeFillTint="66"/>
          </w:tcPr>
          <w:p w:rsidR="0050130D" w:rsidRPr="000F7E1C" w:rsidRDefault="0050130D" w:rsidP="002D6B2C">
            <w:pPr>
              <w:rPr>
                <w:b/>
              </w:rPr>
            </w:pPr>
            <w:r w:rsidRPr="000F7E1C">
              <w:rPr>
                <w:b/>
              </w:rPr>
              <w:t>S „Silné stránky“</w:t>
            </w:r>
          </w:p>
        </w:tc>
        <w:tc>
          <w:tcPr>
            <w:tcW w:w="4606" w:type="dxa"/>
            <w:shd w:val="clear" w:color="auto" w:fill="FBD4B4" w:themeFill="accent6" w:themeFillTint="66"/>
          </w:tcPr>
          <w:p w:rsidR="0050130D" w:rsidRPr="000F7E1C" w:rsidRDefault="0050130D" w:rsidP="002D6B2C">
            <w:pPr>
              <w:rPr>
                <w:b/>
              </w:rPr>
            </w:pPr>
            <w:r w:rsidRPr="000F7E1C">
              <w:rPr>
                <w:b/>
              </w:rPr>
              <w:t>W „Slabé stránky“</w:t>
            </w:r>
          </w:p>
        </w:tc>
      </w:tr>
      <w:tr w:rsidR="0050130D" w:rsidTr="002D6B2C">
        <w:trPr>
          <w:cantSplit/>
          <w:trHeight w:val="2309"/>
        </w:trPr>
        <w:tc>
          <w:tcPr>
            <w:tcW w:w="4606" w:type="dxa"/>
            <w:shd w:val="clear" w:color="auto" w:fill="EAF1DD" w:themeFill="accent3" w:themeFillTint="33"/>
          </w:tcPr>
          <w:p w:rsidR="00292FAC" w:rsidRDefault="00292FAC" w:rsidP="00A60AC9">
            <w:pPr>
              <w:pStyle w:val="Odstavecseseznamem"/>
              <w:numPr>
                <w:ilvl w:val="0"/>
                <w:numId w:val="26"/>
              </w:numPr>
            </w:pPr>
            <w:r>
              <w:t>Komunitní přístup a podpora ze strany obcí.</w:t>
            </w:r>
          </w:p>
          <w:p w:rsidR="0050130D" w:rsidRDefault="0050130D" w:rsidP="002D6B2C"/>
        </w:tc>
        <w:tc>
          <w:tcPr>
            <w:tcW w:w="4606" w:type="dxa"/>
            <w:shd w:val="clear" w:color="auto" w:fill="FDE9D9" w:themeFill="accent6" w:themeFillTint="33"/>
          </w:tcPr>
          <w:p w:rsidR="0050130D" w:rsidRDefault="007F1BFF" w:rsidP="00A60AC9">
            <w:pPr>
              <w:pStyle w:val="Odstavecseseznamem"/>
              <w:numPr>
                <w:ilvl w:val="0"/>
                <w:numId w:val="25"/>
              </w:numPr>
            </w:pPr>
            <w:r>
              <w:t>Malé množství bezbariérových přístupů</w:t>
            </w:r>
            <w:r w:rsidR="00292FAC">
              <w:t>.</w:t>
            </w:r>
          </w:p>
          <w:p w:rsidR="00292FAC" w:rsidRDefault="00292FAC" w:rsidP="00A60AC9">
            <w:pPr>
              <w:pStyle w:val="Odstavecseseznamem"/>
              <w:numPr>
                <w:ilvl w:val="0"/>
                <w:numId w:val="25"/>
              </w:numPr>
            </w:pPr>
            <w:r>
              <w:t>Nízká lokální poptávka.</w:t>
            </w:r>
          </w:p>
          <w:p w:rsidR="00292FAC" w:rsidRDefault="00292FAC" w:rsidP="00A60AC9">
            <w:pPr>
              <w:pStyle w:val="Odstavecseseznamem"/>
              <w:numPr>
                <w:ilvl w:val="0"/>
                <w:numId w:val="25"/>
              </w:numPr>
            </w:pPr>
            <w:r>
              <w:t>Málo soukromých aktivit v malých obcích</w:t>
            </w:r>
          </w:p>
        </w:tc>
      </w:tr>
      <w:tr w:rsidR="0050130D" w:rsidTr="002D6B2C">
        <w:trPr>
          <w:cantSplit/>
        </w:trPr>
        <w:tc>
          <w:tcPr>
            <w:tcW w:w="4606" w:type="dxa"/>
            <w:shd w:val="clear" w:color="auto" w:fill="B8CCE4" w:themeFill="accent1" w:themeFillTint="66"/>
          </w:tcPr>
          <w:p w:rsidR="0050130D" w:rsidRPr="000F7E1C" w:rsidRDefault="0050130D" w:rsidP="002D6B2C">
            <w:pPr>
              <w:rPr>
                <w:b/>
              </w:rPr>
            </w:pPr>
            <w:r w:rsidRPr="000F7E1C">
              <w:rPr>
                <w:b/>
              </w:rPr>
              <w:t>O „Příležitosti“</w:t>
            </w:r>
          </w:p>
        </w:tc>
        <w:tc>
          <w:tcPr>
            <w:tcW w:w="4606" w:type="dxa"/>
            <w:shd w:val="clear" w:color="auto" w:fill="E5B8B7" w:themeFill="accent2" w:themeFillTint="66"/>
          </w:tcPr>
          <w:p w:rsidR="0050130D" w:rsidRPr="000F7E1C" w:rsidRDefault="0050130D" w:rsidP="002D6B2C">
            <w:pPr>
              <w:rPr>
                <w:b/>
              </w:rPr>
            </w:pPr>
            <w:r w:rsidRPr="000F7E1C">
              <w:rPr>
                <w:b/>
              </w:rPr>
              <w:t>T „Hrozby“</w:t>
            </w:r>
          </w:p>
        </w:tc>
      </w:tr>
      <w:tr w:rsidR="0050130D" w:rsidTr="002D6B2C">
        <w:trPr>
          <w:cantSplit/>
          <w:trHeight w:val="2829"/>
        </w:trPr>
        <w:tc>
          <w:tcPr>
            <w:tcW w:w="4606" w:type="dxa"/>
            <w:shd w:val="clear" w:color="auto" w:fill="DBE5F1" w:themeFill="accent1" w:themeFillTint="33"/>
          </w:tcPr>
          <w:p w:rsidR="0050130D" w:rsidRDefault="00292FAC" w:rsidP="00A60AC9">
            <w:pPr>
              <w:pStyle w:val="Odstavecseseznamem"/>
              <w:numPr>
                <w:ilvl w:val="0"/>
                <w:numId w:val="27"/>
              </w:numPr>
            </w:pPr>
            <w:r>
              <w:t>Turistický ruch.</w:t>
            </w:r>
          </w:p>
          <w:p w:rsidR="00292FAC" w:rsidRDefault="00292FAC" w:rsidP="00A60AC9">
            <w:pPr>
              <w:pStyle w:val="Odstavecseseznamem"/>
              <w:numPr>
                <w:ilvl w:val="0"/>
                <w:numId w:val="27"/>
              </w:numPr>
            </w:pPr>
            <w:r>
              <w:t>Mobilní služby.</w:t>
            </w:r>
          </w:p>
        </w:tc>
        <w:tc>
          <w:tcPr>
            <w:tcW w:w="4606" w:type="dxa"/>
            <w:shd w:val="clear" w:color="auto" w:fill="F2DBDB" w:themeFill="accent2" w:themeFillTint="33"/>
          </w:tcPr>
          <w:p w:rsidR="0050130D" w:rsidRDefault="00292FAC" w:rsidP="00A60AC9">
            <w:pPr>
              <w:pStyle w:val="Odstavecseseznamem"/>
              <w:numPr>
                <w:ilvl w:val="0"/>
                <w:numId w:val="27"/>
              </w:numPr>
            </w:pPr>
            <w:r>
              <w:t>Konkurence malých obchodů ve větších městech.</w:t>
            </w:r>
          </w:p>
          <w:p w:rsidR="00292FAC" w:rsidRDefault="00292FAC" w:rsidP="00A60AC9">
            <w:pPr>
              <w:pStyle w:val="Odstavecseseznamem"/>
              <w:numPr>
                <w:ilvl w:val="0"/>
                <w:numId w:val="27"/>
              </w:numPr>
            </w:pPr>
            <w:r>
              <w:t>Rostoucí tlak na podporu z obecních zdrojů.</w:t>
            </w:r>
          </w:p>
        </w:tc>
      </w:tr>
    </w:tbl>
    <w:p w:rsidR="0050130D" w:rsidRDefault="0050130D" w:rsidP="00292FAC"/>
    <w:p w:rsidR="00292FAC" w:rsidRDefault="00E03EC2" w:rsidP="00A60AC9">
      <w:pPr>
        <w:pStyle w:val="Odstavecseseznamem"/>
        <w:numPr>
          <w:ilvl w:val="0"/>
          <w:numId w:val="27"/>
        </w:numPr>
      </w:pPr>
      <w:r>
        <w:t>Obecně ve venkovských oblastech platí, že poptávka po službách soukromých poskytovatelů je nízká a takové aktivity nejsou pro provozovatele ekonomicky zajímavé nebo ani výhodné.</w:t>
      </w:r>
      <w:r w:rsidR="006C0F5B">
        <w:t xml:space="preserve"> Tento faktor je společným jmenovatelem všech potíží s nedostatečnou nabídkou místních služeb.</w:t>
      </w:r>
    </w:p>
    <w:p w:rsidR="006C0F5B" w:rsidRDefault="006C0F5B" w:rsidP="006C0F5B">
      <w:pPr>
        <w:pStyle w:val="Odstavecseseznamem"/>
        <w:ind w:left="720"/>
      </w:pPr>
      <w:r>
        <w:t>Aby byla alespoň základní úroveň udržena, snaží se obce nahradit tyto služby veřejnou nabídkou nebo podporou soukromých poskytovatelů z veřejných zdrojů (nízké nájmy za prostory...).</w:t>
      </w:r>
    </w:p>
    <w:p w:rsidR="006C0F5B" w:rsidRDefault="006C0F5B" w:rsidP="006C0F5B">
      <w:pPr>
        <w:pStyle w:val="Odstavecseseznamem"/>
        <w:ind w:left="720"/>
      </w:pPr>
      <w:r>
        <w:t>Souhrnně lze shrnout možnosti řešení následovně.</w:t>
      </w:r>
    </w:p>
    <w:p w:rsidR="006C0F5B" w:rsidRDefault="006C0F5B" w:rsidP="00A60AC9">
      <w:pPr>
        <w:pStyle w:val="Odstavecseseznamem"/>
        <w:numPr>
          <w:ilvl w:val="1"/>
          <w:numId w:val="27"/>
        </w:numPr>
      </w:pPr>
      <w:r>
        <w:t>Podpora nabídky z veřejných zdrojů (omezené možnosti).</w:t>
      </w:r>
    </w:p>
    <w:p w:rsidR="006C0F5B" w:rsidRDefault="006C0F5B" w:rsidP="00A60AC9">
      <w:pPr>
        <w:pStyle w:val="Odstavecseseznamem"/>
        <w:numPr>
          <w:ilvl w:val="1"/>
          <w:numId w:val="27"/>
        </w:numPr>
      </w:pPr>
      <w:r>
        <w:t>Podpora z dotačních prostředků.</w:t>
      </w:r>
    </w:p>
    <w:p w:rsidR="006C0F5B" w:rsidRDefault="006C0F5B" w:rsidP="00A60AC9">
      <w:pPr>
        <w:pStyle w:val="Odstavecseseznamem"/>
        <w:numPr>
          <w:ilvl w:val="1"/>
          <w:numId w:val="27"/>
        </w:numPr>
      </w:pPr>
      <w:r>
        <w:lastRenderedPageBreak/>
        <w:t>Zvýšení cestovního ruchu a posílení poptávky (více viz 2.1.12 Turistický ruch).</w:t>
      </w:r>
    </w:p>
    <w:p w:rsidR="006C0F5B" w:rsidRDefault="006C0F5B" w:rsidP="00A60AC9">
      <w:pPr>
        <w:pStyle w:val="Odstavecseseznamem"/>
        <w:numPr>
          <w:ilvl w:val="1"/>
          <w:numId w:val="27"/>
        </w:numPr>
      </w:pPr>
      <w:r>
        <w:t>Podpora poskytování mobilních služeb (více viz 2.1.3 Život v obcích).</w:t>
      </w:r>
    </w:p>
    <w:p w:rsidR="006C0F5B" w:rsidRDefault="006C0F5B" w:rsidP="00A60AC9">
      <w:pPr>
        <w:pStyle w:val="Odstavecseseznamem"/>
        <w:numPr>
          <w:ilvl w:val="1"/>
          <w:numId w:val="27"/>
        </w:numPr>
      </w:pPr>
      <w:r>
        <w:t>Podpora dopravní obslužnosti za účelem posílení místní poptávky v obcích, kde mohou být služby dostupné a ke zpřístupnění těchto služeb obyvatelům obcí, kde tyto služby k dispozici nejsou (více viz 2.1.6 Doprava).</w:t>
      </w:r>
    </w:p>
    <w:p w:rsidR="006C0F5B" w:rsidRDefault="006C0F5B" w:rsidP="00A60AC9">
      <w:pPr>
        <w:pStyle w:val="Odstavecseseznamem"/>
        <w:numPr>
          <w:ilvl w:val="0"/>
          <w:numId w:val="27"/>
        </w:numPr>
      </w:pPr>
      <w:r>
        <w:t xml:space="preserve">Pokud v obcích ale už nějaké možnosti jsou, je třeba, aby byly přístupné všem občanům bez rozdílu, a to včetně rozdílů ve fyzických schopnostech. Důležité proto je řešení bezbariérových přístupů k místům dostupnosti zboží a služeb. </w:t>
      </w:r>
    </w:p>
    <w:p w:rsidR="006C0F5B" w:rsidRPr="00856F88" w:rsidRDefault="006C0F5B" w:rsidP="006C0F5B">
      <w:pPr>
        <w:pStyle w:val="Odstavecseseznamem"/>
        <w:ind w:left="720"/>
      </w:pPr>
      <w:r>
        <w:t>K tomuto bude pravděpodobně možné využití dotačních prostředků. V období 2007 – 2013 se osvědčila metoda LEADER.</w:t>
      </w:r>
    </w:p>
    <w:p w:rsidR="00120802" w:rsidRDefault="00120802" w:rsidP="009F4D7F">
      <w:pPr>
        <w:pStyle w:val="Nadpis3"/>
      </w:pPr>
      <w:bookmarkStart w:id="26" w:name="_Toc430006500"/>
      <w:r>
        <w:t>Bydlení</w:t>
      </w:r>
      <w:bookmarkEnd w:id="26"/>
    </w:p>
    <w:p w:rsidR="006971DE" w:rsidRDefault="006971DE" w:rsidP="006971DE">
      <w:pPr>
        <w:pStyle w:val="Nadpis4"/>
      </w:pPr>
      <w:r w:rsidRPr="006971DE">
        <w:t>Způsoby bydlení</w:t>
      </w:r>
    </w:p>
    <w:p w:rsidR="004A1983" w:rsidRDefault="004A1983" w:rsidP="004A1983">
      <w:r w:rsidRPr="004A1983">
        <w:t xml:space="preserve">V regionu  MAS </w:t>
      </w:r>
      <w:r>
        <w:t xml:space="preserve">Litomyšlsko, který je tvořen dvěma většími městy jako </w:t>
      </w:r>
      <w:r w:rsidRPr="004A1983">
        <w:t>cen</w:t>
      </w:r>
      <w:r>
        <w:t>try a okolním malých obcí se byd</w:t>
      </w:r>
      <w:r w:rsidRPr="004A1983">
        <w:t>lení obyvatel opět liší podle těchto dvou typů sídel. Ve větších městech je re</w:t>
      </w:r>
      <w:r>
        <w:t>la</w:t>
      </w:r>
      <w:r w:rsidRPr="004A1983">
        <w:t>tivně časté bydlení v bytech dříve budovaných v rámci panelových domů nebo v bytech vystavěných zejména v rámci developerské aktivity v bytových domech. Naproti tomu bydlení v</w:t>
      </w:r>
      <w:r>
        <w:t>e venkovských sídlech se omezuje</w:t>
      </w:r>
      <w:r w:rsidRPr="004A1983">
        <w:t xml:space="preserve"> téměř výlučně na rodinné domy. Výjimečně se ve větších obcích </w:t>
      </w:r>
      <w:r>
        <w:t>uplatní bydlení v bytovém domě. Častější už je bydlení ve vícegeneračních rodinných domech (tyto však jsou stále častěji obývány pouze jednou rodinou, přičemž ostatní si hledají vlastní bydlení).</w:t>
      </w:r>
    </w:p>
    <w:p w:rsidR="00AF5458" w:rsidRDefault="00AF5458" w:rsidP="004A1983">
      <w:r w:rsidRPr="00AF5458">
        <w:rPr>
          <w:noProof/>
          <w:lang w:eastAsia="cs-CZ"/>
        </w:rPr>
        <w:lastRenderedPageBreak/>
        <w:drawing>
          <wp:inline distT="0" distB="0" distL="0" distR="0">
            <wp:extent cx="4572000" cy="2743200"/>
            <wp:effectExtent l="19050" t="0" r="19050" b="0"/>
            <wp:docPr id="3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038B" w:rsidRPr="004A1983" w:rsidRDefault="007E038B" w:rsidP="004A1983">
      <w:r>
        <w:t>Zdroj: Dotazníkové šetření</w:t>
      </w:r>
    </w:p>
    <w:p w:rsidR="004A1983" w:rsidRPr="004A1983" w:rsidRDefault="004A1983" w:rsidP="004A1983">
      <w:r>
        <w:t xml:space="preserve">Co se týče </w:t>
      </w:r>
      <w:r w:rsidR="00A87C89">
        <w:t>p</w:t>
      </w:r>
      <w:r>
        <w:t>optávky po podpoře bydlení, kterou demonstrují níže zobrazené grafy, je evidentní poptávky po možnostech výstavby rodinných domů a obecních bytů (ty jsou většinou útočištěm pro sociálně slabší nebo vyloučené rodiny nebo jedince).</w:t>
      </w:r>
    </w:p>
    <w:p w:rsidR="00951885" w:rsidRDefault="00951885" w:rsidP="00951885">
      <w:r w:rsidRPr="00951885">
        <w:rPr>
          <w:noProof/>
          <w:lang w:eastAsia="cs-CZ"/>
        </w:rPr>
        <w:drawing>
          <wp:inline distT="0" distB="0" distL="0" distR="0">
            <wp:extent cx="2809875" cy="1828800"/>
            <wp:effectExtent l="19050" t="0" r="9525" b="0"/>
            <wp:docPr id="33"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55622" w:rsidRPr="00B55622">
        <w:rPr>
          <w:noProof/>
          <w:lang w:eastAsia="cs-CZ"/>
        </w:rPr>
        <w:drawing>
          <wp:inline distT="0" distB="0" distL="0" distR="0">
            <wp:extent cx="2867025" cy="1828800"/>
            <wp:effectExtent l="19050" t="0" r="9525" b="0"/>
            <wp:docPr id="36"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855F3" w:rsidRDefault="003855F3" w:rsidP="00951885">
      <w:r>
        <w:t xml:space="preserve">Pohled </w:t>
      </w:r>
      <w:r w:rsidR="00582A0F">
        <w:t>zástupců obcí</w:t>
      </w:r>
      <w:r w:rsidR="00B55622">
        <w:t xml:space="preserve"> vlevo, </w:t>
      </w:r>
      <w:r>
        <w:t>občanů</w:t>
      </w:r>
      <w:r w:rsidR="00B55622">
        <w:t xml:space="preserve"> vpravo</w:t>
      </w:r>
    </w:p>
    <w:p w:rsidR="003855F3" w:rsidRDefault="007E038B" w:rsidP="00951885">
      <w:r>
        <w:t>Rovněž v rámci nové výstavby během let 2001 až 2013 bylo z celkového počtu 1 460 vybudovaných bytů 912 bytů právě v rodinných domech.</w:t>
      </w:r>
      <w:r>
        <w:rPr>
          <w:rStyle w:val="Znakapoznpodarou"/>
        </w:rPr>
        <w:footnoteReference w:id="13"/>
      </w:r>
    </w:p>
    <w:p w:rsidR="00F2437D" w:rsidRDefault="00F2437D" w:rsidP="00951885">
      <w:r>
        <w:t>Častý je také výskyt domácností s nízkým počtem obyvatel. Často se bohužel jedná o seniory</w:t>
      </w:r>
      <w:r w:rsidR="007C35B1">
        <w:t xml:space="preserve"> nebo jinak sociálně vyloučené </w:t>
      </w:r>
      <w:r>
        <w:t>os</w:t>
      </w:r>
      <w:r w:rsidR="007C35B1">
        <w:t>o</w:t>
      </w:r>
      <w:r>
        <w:t>by.</w:t>
      </w:r>
    </w:p>
    <w:tbl>
      <w:tblPr>
        <w:tblW w:w="6840" w:type="dxa"/>
        <w:tblInd w:w="55" w:type="dxa"/>
        <w:tblCellMar>
          <w:left w:w="70" w:type="dxa"/>
          <w:right w:w="70" w:type="dxa"/>
        </w:tblCellMar>
        <w:tblLook w:val="04A0"/>
      </w:tblPr>
      <w:tblGrid>
        <w:gridCol w:w="2040"/>
        <w:gridCol w:w="960"/>
        <w:gridCol w:w="960"/>
        <w:gridCol w:w="960"/>
        <w:gridCol w:w="960"/>
        <w:gridCol w:w="960"/>
      </w:tblGrid>
      <w:tr w:rsidR="00F2437D" w:rsidRPr="00F2437D" w:rsidTr="00F2437D">
        <w:trPr>
          <w:trHeight w:val="240"/>
        </w:trPr>
        <w:tc>
          <w:tcPr>
            <w:tcW w:w="2040" w:type="dxa"/>
            <w:vMerge w:val="restart"/>
            <w:tcBorders>
              <w:top w:val="nil"/>
              <w:left w:val="nil"/>
              <w:bottom w:val="nil"/>
              <w:right w:val="nil"/>
            </w:tcBorders>
            <w:shd w:val="clear" w:color="000000" w:fill="17375D"/>
            <w:vAlign w:val="center"/>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lastRenderedPageBreak/>
              <w:t>Název</w:t>
            </w:r>
          </w:p>
        </w:tc>
        <w:tc>
          <w:tcPr>
            <w:tcW w:w="4800" w:type="dxa"/>
            <w:gridSpan w:val="5"/>
            <w:tcBorders>
              <w:top w:val="nil"/>
              <w:left w:val="nil"/>
              <w:bottom w:val="nil"/>
              <w:right w:val="nil"/>
            </w:tcBorders>
            <w:shd w:val="clear" w:color="000000" w:fill="17375D"/>
            <w:noWrap/>
            <w:vAlign w:val="bottom"/>
            <w:hideMark/>
          </w:tcPr>
          <w:p w:rsidR="00F2437D" w:rsidRPr="00F2437D" w:rsidRDefault="00F2437D" w:rsidP="00F2437D">
            <w:pPr>
              <w:suppressAutoHyphens w:val="0"/>
              <w:spacing w:after="0"/>
              <w:jc w:val="center"/>
              <w:rPr>
                <w:rFonts w:ascii="Calibri" w:hAnsi="Calibri" w:cs="Calibri"/>
                <w:b/>
                <w:bCs/>
                <w:color w:val="FFFFFF"/>
                <w:sz w:val="18"/>
                <w:szCs w:val="18"/>
                <w:lang w:eastAsia="cs-CZ"/>
              </w:rPr>
            </w:pPr>
            <w:r w:rsidRPr="00F2437D">
              <w:rPr>
                <w:rFonts w:ascii="Calibri" w:hAnsi="Calibri" w:cs="Calibri"/>
                <w:b/>
                <w:bCs/>
                <w:color w:val="FFFFFF"/>
                <w:sz w:val="18"/>
                <w:szCs w:val="18"/>
                <w:lang w:eastAsia="cs-CZ"/>
              </w:rPr>
              <w:t>Počet osob žijících v domácnosti</w:t>
            </w:r>
          </w:p>
        </w:tc>
      </w:tr>
      <w:tr w:rsidR="00F2437D" w:rsidRPr="00F2437D" w:rsidTr="00F2437D">
        <w:trPr>
          <w:trHeight w:val="240"/>
        </w:trPr>
        <w:tc>
          <w:tcPr>
            <w:tcW w:w="2040" w:type="dxa"/>
            <w:vMerge/>
            <w:tcBorders>
              <w:top w:val="nil"/>
              <w:left w:val="nil"/>
              <w:bottom w:val="nil"/>
              <w:right w:val="nil"/>
            </w:tcBorders>
            <w:vAlign w:val="center"/>
            <w:hideMark/>
          </w:tcPr>
          <w:p w:rsidR="00F2437D" w:rsidRPr="00F2437D" w:rsidRDefault="00F2437D" w:rsidP="00F2437D">
            <w:pPr>
              <w:suppressAutoHyphens w:val="0"/>
              <w:spacing w:after="0"/>
              <w:jc w:val="left"/>
              <w:rPr>
                <w:rFonts w:ascii="Calibri" w:hAnsi="Calibri" w:cs="Calibri"/>
                <w:color w:val="FFFFFF"/>
                <w:sz w:val="18"/>
                <w:szCs w:val="18"/>
                <w:lang w:eastAsia="cs-CZ"/>
              </w:rPr>
            </w:pPr>
          </w:p>
        </w:tc>
        <w:tc>
          <w:tcPr>
            <w:tcW w:w="960" w:type="dxa"/>
            <w:tcBorders>
              <w:top w:val="nil"/>
              <w:left w:val="nil"/>
              <w:bottom w:val="nil"/>
              <w:right w:val="nil"/>
            </w:tcBorders>
            <w:shd w:val="clear" w:color="000000" w:fill="376091"/>
            <w:vAlign w:val="bottom"/>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t>1</w:t>
            </w:r>
          </w:p>
        </w:tc>
        <w:tc>
          <w:tcPr>
            <w:tcW w:w="960" w:type="dxa"/>
            <w:tcBorders>
              <w:top w:val="nil"/>
              <w:left w:val="nil"/>
              <w:bottom w:val="nil"/>
              <w:right w:val="nil"/>
            </w:tcBorders>
            <w:shd w:val="clear" w:color="000000" w:fill="376091"/>
            <w:vAlign w:val="bottom"/>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t>2</w:t>
            </w:r>
          </w:p>
        </w:tc>
        <w:tc>
          <w:tcPr>
            <w:tcW w:w="960" w:type="dxa"/>
            <w:tcBorders>
              <w:top w:val="nil"/>
              <w:left w:val="nil"/>
              <w:bottom w:val="nil"/>
              <w:right w:val="nil"/>
            </w:tcBorders>
            <w:shd w:val="clear" w:color="000000" w:fill="376091"/>
            <w:vAlign w:val="bottom"/>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t>3</w:t>
            </w:r>
          </w:p>
        </w:tc>
        <w:tc>
          <w:tcPr>
            <w:tcW w:w="960" w:type="dxa"/>
            <w:tcBorders>
              <w:top w:val="nil"/>
              <w:left w:val="nil"/>
              <w:bottom w:val="nil"/>
              <w:right w:val="nil"/>
            </w:tcBorders>
            <w:shd w:val="clear" w:color="000000" w:fill="376091"/>
            <w:vAlign w:val="bottom"/>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t>4</w:t>
            </w:r>
          </w:p>
        </w:tc>
        <w:tc>
          <w:tcPr>
            <w:tcW w:w="960" w:type="dxa"/>
            <w:tcBorders>
              <w:top w:val="nil"/>
              <w:left w:val="nil"/>
              <w:bottom w:val="nil"/>
              <w:right w:val="nil"/>
            </w:tcBorders>
            <w:shd w:val="clear" w:color="000000" w:fill="376091"/>
            <w:vAlign w:val="bottom"/>
            <w:hideMark/>
          </w:tcPr>
          <w:p w:rsidR="00F2437D" w:rsidRPr="00F2437D" w:rsidRDefault="00F2437D" w:rsidP="00F2437D">
            <w:pPr>
              <w:suppressAutoHyphens w:val="0"/>
              <w:spacing w:after="0"/>
              <w:jc w:val="center"/>
              <w:rPr>
                <w:rFonts w:ascii="Calibri" w:hAnsi="Calibri" w:cs="Calibri"/>
                <w:color w:val="FFFFFF"/>
                <w:sz w:val="18"/>
                <w:szCs w:val="18"/>
                <w:lang w:eastAsia="cs-CZ"/>
              </w:rPr>
            </w:pPr>
            <w:r w:rsidRPr="00F2437D">
              <w:rPr>
                <w:rFonts w:ascii="Calibri" w:hAnsi="Calibri" w:cs="Calibri"/>
                <w:color w:val="FFFFFF"/>
                <w:sz w:val="18"/>
                <w:szCs w:val="18"/>
                <w:lang w:eastAsia="cs-CZ"/>
              </w:rPr>
              <w:t>5 a více</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Benátky</w:t>
            </w:r>
          </w:p>
        </w:tc>
        <w:tc>
          <w:tcPr>
            <w:tcW w:w="960" w:type="dxa"/>
            <w:tcBorders>
              <w:top w:val="nil"/>
              <w:left w:val="nil"/>
              <w:bottom w:val="nil"/>
              <w:right w:val="nil"/>
            </w:tcBorders>
            <w:shd w:val="clear" w:color="000000" w:fill="EC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17,7%</w:t>
            </w:r>
          </w:p>
        </w:tc>
        <w:tc>
          <w:tcPr>
            <w:tcW w:w="960" w:type="dxa"/>
            <w:tcBorders>
              <w:top w:val="nil"/>
              <w:left w:val="nil"/>
              <w:bottom w:val="nil"/>
              <w:right w:val="nil"/>
            </w:tcBorders>
            <w:shd w:val="clear" w:color="000000" w:fill="FFDE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22,1%</w:t>
            </w:r>
          </w:p>
        </w:tc>
        <w:tc>
          <w:tcPr>
            <w:tcW w:w="960" w:type="dxa"/>
            <w:tcBorders>
              <w:top w:val="nil"/>
              <w:left w:val="nil"/>
              <w:bottom w:val="nil"/>
              <w:right w:val="nil"/>
            </w:tcBorders>
            <w:shd w:val="clear" w:color="000000" w:fill="EC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17,7%</w:t>
            </w:r>
          </w:p>
        </w:tc>
        <w:tc>
          <w:tcPr>
            <w:tcW w:w="960" w:type="dxa"/>
            <w:tcBorders>
              <w:top w:val="nil"/>
              <w:left w:val="nil"/>
              <w:bottom w:val="nil"/>
              <w:right w:val="nil"/>
            </w:tcBorders>
            <w:shd w:val="clear" w:color="000000" w:fill="FDC5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26,5%</w:t>
            </w:r>
          </w:p>
        </w:tc>
        <w:tc>
          <w:tcPr>
            <w:tcW w:w="960" w:type="dxa"/>
            <w:tcBorders>
              <w:top w:val="nil"/>
              <w:left w:val="nil"/>
              <w:bottom w:val="nil"/>
              <w:right w:val="nil"/>
            </w:tcBorders>
            <w:shd w:val="clear" w:color="000000" w:fill="DDE1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Bohuňovice</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23,8%</w:t>
            </w:r>
          </w:p>
        </w:tc>
        <w:tc>
          <w:tcPr>
            <w:tcW w:w="960" w:type="dxa"/>
            <w:tcBorders>
              <w:top w:val="nil"/>
              <w:left w:val="nil"/>
              <w:bottom w:val="nil"/>
              <w:right w:val="nil"/>
            </w:tcBorders>
            <w:shd w:val="clear" w:color="000000" w:fill="FB927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35,7%</w:t>
            </w:r>
          </w:p>
        </w:tc>
        <w:tc>
          <w:tcPr>
            <w:tcW w:w="960" w:type="dxa"/>
            <w:tcBorders>
              <w:top w:val="nil"/>
              <w:left w:val="nil"/>
              <w:bottom w:val="nil"/>
              <w:right w:val="nil"/>
            </w:tcBorders>
            <w:shd w:val="clear" w:color="000000" w:fill="BA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11,9%</w:t>
            </w:r>
          </w:p>
        </w:tc>
        <w:tc>
          <w:tcPr>
            <w:tcW w:w="960" w:type="dxa"/>
            <w:tcBorders>
              <w:top w:val="nil"/>
              <w:left w:val="nil"/>
              <w:bottom w:val="nil"/>
              <w:right w:val="nil"/>
            </w:tcBorders>
            <w:shd w:val="clear" w:color="000000" w:fill="F8E9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19,0%</w:t>
            </w:r>
          </w:p>
        </w:tc>
        <w:tc>
          <w:tcPr>
            <w:tcW w:w="960" w:type="dxa"/>
            <w:tcBorders>
              <w:top w:val="nil"/>
              <w:left w:val="nil"/>
              <w:bottom w:val="nil"/>
              <w:right w:val="nil"/>
            </w:tcBorders>
            <w:shd w:val="clear" w:color="000000" w:fill="A5D1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9,5%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Bor u Skutče</w:t>
            </w:r>
          </w:p>
        </w:tc>
        <w:tc>
          <w:tcPr>
            <w:tcW w:w="960" w:type="dxa"/>
            <w:tcBorders>
              <w:top w:val="nil"/>
              <w:left w:val="nil"/>
              <w:bottom w:val="nil"/>
              <w:right w:val="nil"/>
            </w:tcBorders>
            <w:shd w:val="clear" w:color="000000" w:fill="FCAA78"/>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31,5%</w:t>
            </w:r>
          </w:p>
        </w:tc>
        <w:tc>
          <w:tcPr>
            <w:tcW w:w="960" w:type="dxa"/>
            <w:tcBorders>
              <w:top w:val="nil"/>
              <w:left w:val="nil"/>
              <w:bottom w:val="nil"/>
              <w:right w:val="nil"/>
            </w:tcBorders>
            <w:shd w:val="clear" w:color="000000" w:fill="FDBE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27,8%</w:t>
            </w:r>
          </w:p>
        </w:tc>
        <w:tc>
          <w:tcPr>
            <w:tcW w:w="960" w:type="dxa"/>
            <w:tcBorders>
              <w:top w:val="nil"/>
              <w:left w:val="nil"/>
              <w:bottom w:val="nil"/>
              <w:right w:val="nil"/>
            </w:tcBorders>
            <w:shd w:val="clear" w:color="000000" w:fill="63BE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w:t>
            </w:r>
          </w:p>
        </w:tc>
        <w:tc>
          <w:tcPr>
            <w:tcW w:w="960" w:type="dxa"/>
            <w:tcBorders>
              <w:top w:val="nil"/>
              <w:left w:val="nil"/>
              <w:bottom w:val="nil"/>
              <w:right w:val="nil"/>
            </w:tcBorders>
            <w:shd w:val="clear" w:color="000000" w:fill="FFDE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22,2%</w:t>
            </w:r>
          </w:p>
        </w:tc>
        <w:tc>
          <w:tcPr>
            <w:tcW w:w="960" w:type="dxa"/>
            <w:tcBorders>
              <w:top w:val="nil"/>
              <w:left w:val="nil"/>
              <w:bottom w:val="nil"/>
              <w:right w:val="nil"/>
            </w:tcBorders>
            <w:shd w:val="clear" w:color="000000" w:fill="E3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16,7%</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Bučina</w:t>
            </w:r>
          </w:p>
        </w:tc>
        <w:tc>
          <w:tcPr>
            <w:tcW w:w="960" w:type="dxa"/>
            <w:tcBorders>
              <w:top w:val="nil"/>
              <w:left w:val="nil"/>
              <w:bottom w:val="nil"/>
              <w:right w:val="nil"/>
            </w:tcBorders>
            <w:shd w:val="clear" w:color="000000" w:fill="FFE0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21,8%</w:t>
            </w:r>
          </w:p>
        </w:tc>
        <w:tc>
          <w:tcPr>
            <w:tcW w:w="960" w:type="dxa"/>
            <w:tcBorders>
              <w:top w:val="nil"/>
              <w:left w:val="nil"/>
              <w:bottom w:val="nil"/>
              <w:right w:val="nil"/>
            </w:tcBorders>
            <w:shd w:val="clear" w:color="000000" w:fill="FB987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34,6%</w:t>
            </w:r>
          </w:p>
        </w:tc>
        <w:tc>
          <w:tcPr>
            <w:tcW w:w="960" w:type="dxa"/>
            <w:tcBorders>
              <w:top w:val="nil"/>
              <w:left w:val="nil"/>
              <w:bottom w:val="nil"/>
              <w:right w:val="nil"/>
            </w:tcBorders>
            <w:shd w:val="clear" w:color="000000" w:fill="C2D9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12,8%</w:t>
            </w:r>
          </w:p>
        </w:tc>
        <w:tc>
          <w:tcPr>
            <w:tcW w:w="960" w:type="dxa"/>
            <w:tcBorders>
              <w:top w:val="nil"/>
              <w:left w:val="nil"/>
              <w:bottom w:val="nil"/>
              <w:right w:val="nil"/>
            </w:tcBorders>
            <w:shd w:val="clear" w:color="000000" w:fill="FFE0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21,8%</w:t>
            </w:r>
          </w:p>
        </w:tc>
        <w:tc>
          <w:tcPr>
            <w:tcW w:w="960" w:type="dxa"/>
            <w:tcBorders>
              <w:top w:val="nil"/>
              <w:left w:val="nil"/>
              <w:bottom w:val="nil"/>
              <w:right w:val="nil"/>
            </w:tcBorders>
            <w:shd w:val="clear" w:color="000000" w:fill="A0CF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9,0%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Budislav</w:t>
            </w:r>
          </w:p>
        </w:tc>
        <w:tc>
          <w:tcPr>
            <w:tcW w:w="960" w:type="dxa"/>
            <w:tcBorders>
              <w:top w:val="nil"/>
              <w:left w:val="nil"/>
              <w:bottom w:val="nil"/>
              <w:right w:val="nil"/>
            </w:tcBorders>
            <w:shd w:val="clear" w:color="000000" w:fill="FFDB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22,8%</w:t>
            </w:r>
          </w:p>
        </w:tc>
        <w:tc>
          <w:tcPr>
            <w:tcW w:w="960" w:type="dxa"/>
            <w:tcBorders>
              <w:top w:val="nil"/>
              <w:left w:val="nil"/>
              <w:bottom w:val="nil"/>
              <w:right w:val="nil"/>
            </w:tcBorders>
            <w:shd w:val="clear" w:color="000000" w:fill="FDC5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26,6%</w:t>
            </w:r>
          </w:p>
        </w:tc>
        <w:tc>
          <w:tcPr>
            <w:tcW w:w="960" w:type="dxa"/>
            <w:tcBorders>
              <w:top w:val="nil"/>
              <w:left w:val="nil"/>
              <w:bottom w:val="nil"/>
              <w:right w:val="nil"/>
            </w:tcBorders>
            <w:shd w:val="clear" w:color="000000" w:fill="D7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15,2%</w:t>
            </w:r>
          </w:p>
        </w:tc>
        <w:tc>
          <w:tcPr>
            <w:tcW w:w="960" w:type="dxa"/>
            <w:tcBorders>
              <w:top w:val="nil"/>
              <w:left w:val="nil"/>
              <w:bottom w:val="nil"/>
              <w:right w:val="nil"/>
            </w:tcBorders>
            <w:shd w:val="clear" w:color="000000" w:fill="FED3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24,1%</w:t>
            </w:r>
          </w:p>
        </w:tc>
        <w:tc>
          <w:tcPr>
            <w:tcW w:w="960" w:type="dxa"/>
            <w:tcBorders>
              <w:top w:val="nil"/>
              <w:left w:val="nil"/>
              <w:bottom w:val="nil"/>
              <w:right w:val="nil"/>
            </w:tcBorders>
            <w:shd w:val="clear" w:color="000000" w:fill="B6D5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11,4%</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Cerekvice nad Loučnou</w:t>
            </w:r>
          </w:p>
        </w:tc>
        <w:tc>
          <w:tcPr>
            <w:tcW w:w="960" w:type="dxa"/>
            <w:tcBorders>
              <w:top w:val="nil"/>
              <w:left w:val="nil"/>
              <w:bottom w:val="nil"/>
              <w:right w:val="nil"/>
            </w:tcBorders>
            <w:shd w:val="clear" w:color="000000" w:fill="FFE7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20,6%</w:t>
            </w:r>
          </w:p>
        </w:tc>
        <w:tc>
          <w:tcPr>
            <w:tcW w:w="960" w:type="dxa"/>
            <w:tcBorders>
              <w:top w:val="nil"/>
              <w:left w:val="nil"/>
              <w:bottom w:val="nil"/>
              <w:right w:val="nil"/>
            </w:tcBorders>
            <w:shd w:val="clear" w:color="000000" w:fill="FFDB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22,7%</w:t>
            </w:r>
          </w:p>
        </w:tc>
        <w:tc>
          <w:tcPr>
            <w:tcW w:w="960" w:type="dxa"/>
            <w:tcBorders>
              <w:top w:val="nil"/>
              <w:left w:val="nil"/>
              <w:bottom w:val="nil"/>
              <w:right w:val="nil"/>
            </w:tcBorders>
            <w:shd w:val="clear" w:color="000000" w:fill="FED7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23,5%</w:t>
            </w:r>
          </w:p>
        </w:tc>
        <w:tc>
          <w:tcPr>
            <w:tcW w:w="960" w:type="dxa"/>
            <w:tcBorders>
              <w:top w:val="nil"/>
              <w:left w:val="nil"/>
              <w:bottom w:val="nil"/>
              <w:right w:val="nil"/>
            </w:tcBorders>
            <w:shd w:val="clear" w:color="000000" w:fill="FECF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24,9%</w:t>
            </w:r>
          </w:p>
        </w:tc>
        <w:tc>
          <w:tcPr>
            <w:tcW w:w="960" w:type="dxa"/>
            <w:tcBorders>
              <w:top w:val="nil"/>
              <w:left w:val="nil"/>
              <w:bottom w:val="nil"/>
              <w:right w:val="nil"/>
            </w:tcBorders>
            <w:shd w:val="clear" w:color="000000" w:fill="9BCE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České Heřmanice</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17,5%</w:t>
            </w:r>
          </w:p>
        </w:tc>
        <w:tc>
          <w:tcPr>
            <w:tcW w:w="960" w:type="dxa"/>
            <w:tcBorders>
              <w:top w:val="nil"/>
              <w:left w:val="nil"/>
              <w:bottom w:val="nil"/>
              <w:right w:val="nil"/>
            </w:tcBorders>
            <w:shd w:val="clear" w:color="000000" w:fill="FDB5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29,5%</w:t>
            </w:r>
          </w:p>
        </w:tc>
        <w:tc>
          <w:tcPr>
            <w:tcW w:w="960" w:type="dxa"/>
            <w:tcBorders>
              <w:top w:val="nil"/>
              <w:left w:val="nil"/>
              <w:bottom w:val="nil"/>
              <w:right w:val="nil"/>
            </w:tcBorders>
            <w:shd w:val="clear" w:color="000000" w:fill="E1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16,4%</w:t>
            </w:r>
          </w:p>
        </w:tc>
        <w:tc>
          <w:tcPr>
            <w:tcW w:w="960" w:type="dxa"/>
            <w:tcBorders>
              <w:top w:val="nil"/>
              <w:left w:val="nil"/>
              <w:bottom w:val="nil"/>
              <w:right w:val="nil"/>
            </w:tcBorders>
            <w:shd w:val="clear" w:color="000000" w:fill="FE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23,5%</w:t>
            </w:r>
          </w:p>
        </w:tc>
        <w:tc>
          <w:tcPr>
            <w:tcW w:w="960" w:type="dxa"/>
            <w:tcBorders>
              <w:top w:val="nil"/>
              <w:left w:val="nil"/>
              <w:bottom w:val="nil"/>
              <w:right w:val="nil"/>
            </w:tcBorders>
            <w:shd w:val="clear" w:color="000000" w:fill="C4DA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13,1%</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Čistá</w:t>
            </w:r>
          </w:p>
        </w:tc>
        <w:tc>
          <w:tcPr>
            <w:tcW w:w="960" w:type="dxa"/>
            <w:tcBorders>
              <w:top w:val="nil"/>
              <w:left w:val="nil"/>
              <w:bottom w:val="nil"/>
              <w:right w:val="nil"/>
            </w:tcBorders>
            <w:shd w:val="clear" w:color="000000" w:fill="D7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15,3%</w:t>
            </w:r>
          </w:p>
        </w:tc>
        <w:tc>
          <w:tcPr>
            <w:tcW w:w="960" w:type="dxa"/>
            <w:tcBorders>
              <w:top w:val="nil"/>
              <w:left w:val="nil"/>
              <w:bottom w:val="nil"/>
              <w:right w:val="nil"/>
            </w:tcBorders>
            <w:shd w:val="clear" w:color="000000" w:fill="FCAB78"/>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31,2%</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17,5%</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23,7%</w:t>
            </w:r>
          </w:p>
        </w:tc>
        <w:tc>
          <w:tcPr>
            <w:tcW w:w="960" w:type="dxa"/>
            <w:tcBorders>
              <w:top w:val="nil"/>
              <w:left w:val="nil"/>
              <w:bottom w:val="nil"/>
              <w:right w:val="nil"/>
            </w:tcBorders>
            <w:shd w:val="clear" w:color="000000" w:fill="BED8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Desná</w:t>
            </w:r>
          </w:p>
        </w:tc>
        <w:tc>
          <w:tcPr>
            <w:tcW w:w="960" w:type="dxa"/>
            <w:tcBorders>
              <w:top w:val="nil"/>
              <w:left w:val="nil"/>
              <w:bottom w:val="nil"/>
              <w:right w:val="nil"/>
            </w:tcBorders>
            <w:shd w:val="clear" w:color="000000" w:fill="CB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13,9%</w:t>
            </w:r>
          </w:p>
        </w:tc>
        <w:tc>
          <w:tcPr>
            <w:tcW w:w="960" w:type="dxa"/>
            <w:tcBorders>
              <w:top w:val="nil"/>
              <w:left w:val="nil"/>
              <w:bottom w:val="nil"/>
              <w:right w:val="nil"/>
            </w:tcBorders>
            <w:shd w:val="clear" w:color="000000" w:fill="FB9A75"/>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34,3%</w:t>
            </w:r>
          </w:p>
        </w:tc>
        <w:tc>
          <w:tcPr>
            <w:tcW w:w="960" w:type="dxa"/>
            <w:tcBorders>
              <w:top w:val="nil"/>
              <w:left w:val="nil"/>
              <w:bottom w:val="nil"/>
              <w:right w:val="nil"/>
            </w:tcBorders>
            <w:shd w:val="clear" w:color="000000" w:fill="F4E7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18,5%</w:t>
            </w:r>
          </w:p>
        </w:tc>
        <w:tc>
          <w:tcPr>
            <w:tcW w:w="960" w:type="dxa"/>
            <w:tcBorders>
              <w:top w:val="nil"/>
              <w:left w:val="nil"/>
              <w:bottom w:val="nil"/>
              <w:right w:val="nil"/>
            </w:tcBorders>
            <w:shd w:val="clear" w:color="000000" w:fill="E3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16,7%</w:t>
            </w:r>
          </w:p>
        </w:tc>
        <w:tc>
          <w:tcPr>
            <w:tcW w:w="960" w:type="dxa"/>
            <w:tcBorders>
              <w:top w:val="nil"/>
              <w:left w:val="nil"/>
              <w:bottom w:val="nil"/>
              <w:right w:val="nil"/>
            </w:tcBorders>
            <w:shd w:val="clear" w:color="000000" w:fill="E3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16,7%</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Dolní Újezd</w:t>
            </w:r>
          </w:p>
        </w:tc>
        <w:tc>
          <w:tcPr>
            <w:tcW w:w="960" w:type="dxa"/>
            <w:tcBorders>
              <w:top w:val="nil"/>
              <w:left w:val="nil"/>
              <w:bottom w:val="nil"/>
              <w:right w:val="nil"/>
            </w:tcBorders>
            <w:shd w:val="clear" w:color="000000" w:fill="FED7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23,4%</w:t>
            </w:r>
          </w:p>
        </w:tc>
        <w:tc>
          <w:tcPr>
            <w:tcW w:w="960" w:type="dxa"/>
            <w:tcBorders>
              <w:top w:val="nil"/>
              <w:left w:val="nil"/>
              <w:bottom w:val="nil"/>
              <w:right w:val="nil"/>
            </w:tcBorders>
            <w:shd w:val="clear" w:color="000000" w:fill="FED0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24,7%</w:t>
            </w:r>
          </w:p>
        </w:tc>
        <w:tc>
          <w:tcPr>
            <w:tcW w:w="960" w:type="dxa"/>
            <w:tcBorders>
              <w:top w:val="nil"/>
              <w:left w:val="nil"/>
              <w:bottom w:val="nil"/>
              <w:right w:val="nil"/>
            </w:tcBorders>
            <w:shd w:val="clear" w:color="000000" w:fill="E2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16,5%</w:t>
            </w:r>
          </w:p>
        </w:tc>
        <w:tc>
          <w:tcPr>
            <w:tcW w:w="960" w:type="dxa"/>
            <w:tcBorders>
              <w:top w:val="nil"/>
              <w:left w:val="nil"/>
              <w:bottom w:val="nil"/>
              <w:right w:val="nil"/>
            </w:tcBorders>
            <w:shd w:val="clear" w:color="000000" w:fill="FFEB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19,9%</w:t>
            </w:r>
          </w:p>
        </w:tc>
        <w:tc>
          <w:tcPr>
            <w:tcW w:w="960" w:type="dxa"/>
            <w:tcBorders>
              <w:top w:val="nil"/>
              <w:left w:val="nil"/>
              <w:bottom w:val="nil"/>
              <w:right w:val="nil"/>
            </w:tcBorders>
            <w:shd w:val="clear" w:color="000000" w:fill="DAE0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15,6%</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Hluboká</w:t>
            </w:r>
          </w:p>
        </w:tc>
        <w:tc>
          <w:tcPr>
            <w:tcW w:w="960" w:type="dxa"/>
            <w:tcBorders>
              <w:top w:val="nil"/>
              <w:left w:val="nil"/>
              <w:bottom w:val="nil"/>
              <w:right w:val="nil"/>
            </w:tcBorders>
            <w:shd w:val="clear" w:color="000000" w:fill="FDBD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28,0%</w:t>
            </w:r>
          </w:p>
        </w:tc>
        <w:tc>
          <w:tcPr>
            <w:tcW w:w="960" w:type="dxa"/>
            <w:tcBorders>
              <w:top w:val="nil"/>
              <w:left w:val="nil"/>
              <w:bottom w:val="nil"/>
              <w:right w:val="nil"/>
            </w:tcBorders>
            <w:shd w:val="clear" w:color="000000" w:fill="FB987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34,7%</w:t>
            </w:r>
          </w:p>
        </w:tc>
        <w:tc>
          <w:tcPr>
            <w:tcW w:w="960" w:type="dxa"/>
            <w:tcBorders>
              <w:top w:val="nil"/>
              <w:left w:val="nil"/>
              <w:bottom w:val="nil"/>
              <w:right w:val="nil"/>
            </w:tcBorders>
            <w:shd w:val="clear" w:color="000000" w:fill="BB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12,0%</w:t>
            </w:r>
          </w:p>
        </w:tc>
        <w:tc>
          <w:tcPr>
            <w:tcW w:w="960" w:type="dxa"/>
            <w:tcBorders>
              <w:top w:val="nil"/>
              <w:left w:val="nil"/>
              <w:bottom w:val="nil"/>
              <w:right w:val="nil"/>
            </w:tcBorders>
            <w:shd w:val="clear" w:color="000000" w:fill="BB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12,0%</w:t>
            </w:r>
          </w:p>
        </w:tc>
        <w:tc>
          <w:tcPr>
            <w:tcW w:w="960" w:type="dxa"/>
            <w:tcBorders>
              <w:top w:val="nil"/>
              <w:left w:val="nil"/>
              <w:bottom w:val="nil"/>
              <w:right w:val="nil"/>
            </w:tcBorders>
            <w:shd w:val="clear" w:color="000000" w:fill="C6DA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Horky</w:t>
            </w:r>
          </w:p>
        </w:tc>
        <w:tc>
          <w:tcPr>
            <w:tcW w:w="960" w:type="dxa"/>
            <w:tcBorders>
              <w:top w:val="nil"/>
              <w:left w:val="nil"/>
              <w:bottom w:val="nil"/>
              <w:right w:val="nil"/>
            </w:tcBorders>
            <w:shd w:val="clear" w:color="000000" w:fill="FEC7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26,3%</w:t>
            </w:r>
          </w:p>
        </w:tc>
        <w:tc>
          <w:tcPr>
            <w:tcW w:w="960" w:type="dxa"/>
            <w:tcBorders>
              <w:top w:val="nil"/>
              <w:left w:val="nil"/>
              <w:bottom w:val="nil"/>
              <w:right w:val="nil"/>
            </w:tcBorders>
            <w:shd w:val="clear" w:color="000000" w:fill="FEC7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26,3%</w:t>
            </w:r>
          </w:p>
        </w:tc>
        <w:tc>
          <w:tcPr>
            <w:tcW w:w="960" w:type="dxa"/>
            <w:tcBorders>
              <w:top w:val="nil"/>
              <w:left w:val="nil"/>
              <w:bottom w:val="nil"/>
              <w:right w:val="nil"/>
            </w:tcBorders>
            <w:shd w:val="clear" w:color="000000" w:fill="AED3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10,5%</w:t>
            </w:r>
          </w:p>
        </w:tc>
        <w:tc>
          <w:tcPr>
            <w:tcW w:w="960" w:type="dxa"/>
            <w:tcBorders>
              <w:top w:val="nil"/>
              <w:left w:val="nil"/>
              <w:bottom w:val="nil"/>
              <w:right w:val="nil"/>
            </w:tcBorders>
            <w:shd w:val="clear" w:color="000000" w:fill="DCE0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15,8%</w:t>
            </w:r>
          </w:p>
        </w:tc>
        <w:tc>
          <w:tcPr>
            <w:tcW w:w="960" w:type="dxa"/>
            <w:tcBorders>
              <w:top w:val="nil"/>
              <w:left w:val="nil"/>
              <w:bottom w:val="nil"/>
              <w:right w:val="nil"/>
            </w:tcBorders>
            <w:shd w:val="clear" w:color="000000" w:fill="FFE4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21,1%</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Horní Újezd</w:t>
            </w:r>
          </w:p>
        </w:tc>
        <w:tc>
          <w:tcPr>
            <w:tcW w:w="960" w:type="dxa"/>
            <w:tcBorders>
              <w:top w:val="nil"/>
              <w:left w:val="nil"/>
              <w:bottom w:val="nil"/>
              <w:right w:val="nil"/>
            </w:tcBorders>
            <w:shd w:val="clear" w:color="000000" w:fill="E4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16,8%</w:t>
            </w:r>
          </w:p>
        </w:tc>
        <w:tc>
          <w:tcPr>
            <w:tcW w:w="960" w:type="dxa"/>
            <w:tcBorders>
              <w:top w:val="nil"/>
              <w:left w:val="nil"/>
              <w:bottom w:val="nil"/>
              <w:right w:val="nil"/>
            </w:tcBorders>
            <w:shd w:val="clear" w:color="000000" w:fill="FDBB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28,5%</w:t>
            </w:r>
          </w:p>
        </w:tc>
        <w:tc>
          <w:tcPr>
            <w:tcW w:w="960" w:type="dxa"/>
            <w:tcBorders>
              <w:top w:val="nil"/>
              <w:left w:val="nil"/>
              <w:bottom w:val="nil"/>
              <w:right w:val="nil"/>
            </w:tcBorders>
            <w:shd w:val="clear" w:color="000000" w:fill="E4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16,8%</w:t>
            </w:r>
          </w:p>
        </w:tc>
        <w:tc>
          <w:tcPr>
            <w:tcW w:w="960" w:type="dxa"/>
            <w:tcBorders>
              <w:top w:val="nil"/>
              <w:left w:val="nil"/>
              <w:bottom w:val="nil"/>
              <w:right w:val="nil"/>
            </w:tcBorders>
            <w:shd w:val="clear" w:color="000000" w:fill="E4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16,8%</w:t>
            </w:r>
          </w:p>
        </w:tc>
        <w:tc>
          <w:tcPr>
            <w:tcW w:w="960" w:type="dxa"/>
            <w:tcBorders>
              <w:top w:val="nil"/>
              <w:left w:val="nil"/>
              <w:bottom w:val="nil"/>
              <w:right w:val="nil"/>
            </w:tcBorders>
            <w:shd w:val="clear" w:color="000000" w:fill="FFE4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21,2%</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Hrušová</w:t>
            </w:r>
          </w:p>
        </w:tc>
        <w:tc>
          <w:tcPr>
            <w:tcW w:w="960" w:type="dxa"/>
            <w:tcBorders>
              <w:top w:val="nil"/>
              <w:left w:val="nil"/>
              <w:bottom w:val="nil"/>
              <w:right w:val="nil"/>
            </w:tcBorders>
            <w:shd w:val="clear" w:color="000000" w:fill="F5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18,6%</w:t>
            </w:r>
          </w:p>
        </w:tc>
        <w:tc>
          <w:tcPr>
            <w:tcW w:w="960" w:type="dxa"/>
            <w:tcBorders>
              <w:top w:val="nil"/>
              <w:left w:val="nil"/>
              <w:bottom w:val="nil"/>
              <w:right w:val="nil"/>
            </w:tcBorders>
            <w:shd w:val="clear" w:color="000000" w:fill="FCA677"/>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32,2%</w:t>
            </w:r>
          </w:p>
        </w:tc>
        <w:tc>
          <w:tcPr>
            <w:tcW w:w="960" w:type="dxa"/>
            <w:tcBorders>
              <w:top w:val="nil"/>
              <w:left w:val="nil"/>
              <w:bottom w:val="nil"/>
              <w:right w:val="nil"/>
            </w:tcBorders>
            <w:shd w:val="clear" w:color="000000" w:fill="F5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18,6%</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23,7%</w:t>
            </w:r>
          </w:p>
        </w:tc>
        <w:tc>
          <w:tcPr>
            <w:tcW w:w="960" w:type="dxa"/>
            <w:tcBorders>
              <w:top w:val="nil"/>
              <w:left w:val="nil"/>
              <w:bottom w:val="nil"/>
              <w:right w:val="nil"/>
            </w:tcBorders>
            <w:shd w:val="clear" w:color="000000" w:fill="8DCA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6,8%</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Chmelík</w:t>
            </w:r>
          </w:p>
        </w:tc>
        <w:tc>
          <w:tcPr>
            <w:tcW w:w="960" w:type="dxa"/>
            <w:tcBorders>
              <w:top w:val="nil"/>
              <w:left w:val="nil"/>
              <w:bottom w:val="nil"/>
              <w:right w:val="nil"/>
            </w:tcBorders>
            <w:shd w:val="clear" w:color="000000" w:fill="FDBE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27,9%</w:t>
            </w:r>
          </w:p>
        </w:tc>
        <w:tc>
          <w:tcPr>
            <w:tcW w:w="960" w:type="dxa"/>
            <w:tcBorders>
              <w:top w:val="nil"/>
              <w:left w:val="nil"/>
              <w:bottom w:val="nil"/>
              <w:right w:val="nil"/>
            </w:tcBorders>
            <w:shd w:val="clear" w:color="000000" w:fill="FDB5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29,4%</w:t>
            </w:r>
          </w:p>
        </w:tc>
        <w:tc>
          <w:tcPr>
            <w:tcW w:w="960" w:type="dxa"/>
            <w:tcBorders>
              <w:top w:val="nil"/>
              <w:left w:val="nil"/>
              <w:bottom w:val="nil"/>
              <w:right w:val="nil"/>
            </w:tcBorders>
            <w:shd w:val="clear" w:color="000000" w:fill="EC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17,6%</w:t>
            </w:r>
          </w:p>
        </w:tc>
        <w:tc>
          <w:tcPr>
            <w:tcW w:w="960" w:type="dxa"/>
            <w:tcBorders>
              <w:top w:val="nil"/>
              <w:left w:val="nil"/>
              <w:bottom w:val="nil"/>
              <w:right w:val="nil"/>
            </w:tcBorders>
            <w:shd w:val="clear" w:color="000000" w:fill="D2DE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14,7%</w:t>
            </w:r>
          </w:p>
        </w:tc>
        <w:tc>
          <w:tcPr>
            <w:tcW w:w="960" w:type="dxa"/>
            <w:tcBorders>
              <w:top w:val="nil"/>
              <w:left w:val="nil"/>
              <w:bottom w:val="nil"/>
              <w:right w:val="nil"/>
            </w:tcBorders>
            <w:shd w:val="clear" w:color="000000" w:fill="ACD3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Chotěnov</w:t>
            </w:r>
          </w:p>
        </w:tc>
        <w:tc>
          <w:tcPr>
            <w:tcW w:w="960" w:type="dxa"/>
            <w:tcBorders>
              <w:top w:val="nil"/>
              <w:left w:val="nil"/>
              <w:bottom w:val="nil"/>
              <w:right w:val="nil"/>
            </w:tcBorders>
            <w:shd w:val="clear" w:color="000000" w:fill="FECE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25,0%</w:t>
            </w:r>
          </w:p>
        </w:tc>
        <w:tc>
          <w:tcPr>
            <w:tcW w:w="960" w:type="dxa"/>
            <w:tcBorders>
              <w:top w:val="nil"/>
              <w:left w:val="nil"/>
              <w:bottom w:val="nil"/>
              <w:right w:val="nil"/>
            </w:tcBorders>
            <w:shd w:val="clear" w:color="000000" w:fill="FDB7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29,2%</w:t>
            </w:r>
          </w:p>
        </w:tc>
        <w:tc>
          <w:tcPr>
            <w:tcW w:w="960" w:type="dxa"/>
            <w:tcBorders>
              <w:top w:val="nil"/>
              <w:left w:val="nil"/>
              <w:bottom w:val="nil"/>
              <w:right w:val="nil"/>
            </w:tcBorders>
            <w:shd w:val="clear" w:color="000000" w:fill="D1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14,6%</w:t>
            </w:r>
          </w:p>
        </w:tc>
        <w:tc>
          <w:tcPr>
            <w:tcW w:w="960" w:type="dxa"/>
            <w:tcBorders>
              <w:top w:val="nil"/>
              <w:left w:val="nil"/>
              <w:bottom w:val="nil"/>
              <w:right w:val="nil"/>
            </w:tcBorders>
            <w:shd w:val="clear" w:color="000000" w:fill="F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20,8%</w:t>
            </w:r>
          </w:p>
        </w:tc>
        <w:tc>
          <w:tcPr>
            <w:tcW w:w="960" w:type="dxa"/>
            <w:tcBorders>
              <w:top w:val="nil"/>
              <w:left w:val="nil"/>
              <w:bottom w:val="nil"/>
              <w:right w:val="nil"/>
            </w:tcBorders>
            <w:shd w:val="clear" w:color="000000" w:fill="ADD3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10,4%</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Chotovice</w:t>
            </w:r>
          </w:p>
        </w:tc>
        <w:tc>
          <w:tcPr>
            <w:tcW w:w="960" w:type="dxa"/>
            <w:tcBorders>
              <w:top w:val="nil"/>
              <w:left w:val="nil"/>
              <w:bottom w:val="nil"/>
              <w:right w:val="nil"/>
            </w:tcBorders>
            <w:shd w:val="clear" w:color="000000" w:fill="F4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18,6%</w:t>
            </w:r>
          </w:p>
        </w:tc>
        <w:tc>
          <w:tcPr>
            <w:tcW w:w="960" w:type="dxa"/>
            <w:tcBorders>
              <w:top w:val="nil"/>
              <w:left w:val="nil"/>
              <w:bottom w:val="nil"/>
              <w:right w:val="nil"/>
            </w:tcBorders>
            <w:shd w:val="clear" w:color="000000" w:fill="FDBE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27,9%</w:t>
            </w:r>
          </w:p>
        </w:tc>
        <w:tc>
          <w:tcPr>
            <w:tcW w:w="960" w:type="dxa"/>
            <w:tcBorders>
              <w:top w:val="nil"/>
              <w:left w:val="nil"/>
              <w:bottom w:val="nil"/>
              <w:right w:val="nil"/>
            </w:tcBorders>
            <w:shd w:val="clear" w:color="000000" w:fill="CC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14,0%</w:t>
            </w:r>
          </w:p>
        </w:tc>
        <w:tc>
          <w:tcPr>
            <w:tcW w:w="960" w:type="dxa"/>
            <w:tcBorders>
              <w:top w:val="nil"/>
              <w:left w:val="nil"/>
              <w:bottom w:val="nil"/>
              <w:right w:val="nil"/>
            </w:tcBorders>
            <w:shd w:val="clear" w:color="000000" w:fill="FED8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23,3%</w:t>
            </w:r>
          </w:p>
        </w:tc>
        <w:tc>
          <w:tcPr>
            <w:tcW w:w="960" w:type="dxa"/>
            <w:tcBorders>
              <w:top w:val="nil"/>
              <w:left w:val="nil"/>
              <w:bottom w:val="nil"/>
              <w:right w:val="nil"/>
            </w:tcBorders>
            <w:shd w:val="clear" w:color="000000" w:fill="E0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Janov</w:t>
            </w:r>
          </w:p>
        </w:tc>
        <w:tc>
          <w:tcPr>
            <w:tcW w:w="960" w:type="dxa"/>
            <w:tcBorders>
              <w:top w:val="nil"/>
              <w:left w:val="nil"/>
              <w:bottom w:val="nil"/>
              <w:right w:val="nil"/>
            </w:tcBorders>
            <w:shd w:val="clear" w:color="000000" w:fill="FFE4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21,2%</w:t>
            </w:r>
          </w:p>
        </w:tc>
        <w:tc>
          <w:tcPr>
            <w:tcW w:w="960" w:type="dxa"/>
            <w:tcBorders>
              <w:top w:val="nil"/>
              <w:left w:val="nil"/>
              <w:bottom w:val="nil"/>
              <w:right w:val="nil"/>
            </w:tcBorders>
            <w:shd w:val="clear" w:color="000000" w:fill="FEC9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26,0%</w:t>
            </w:r>
          </w:p>
        </w:tc>
        <w:tc>
          <w:tcPr>
            <w:tcW w:w="960" w:type="dxa"/>
            <w:tcBorders>
              <w:top w:val="nil"/>
              <w:left w:val="nil"/>
              <w:bottom w:val="nil"/>
              <w:right w:val="nil"/>
            </w:tcBorders>
            <w:shd w:val="clear" w:color="000000" w:fill="E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17,9%</w:t>
            </w:r>
          </w:p>
        </w:tc>
        <w:tc>
          <w:tcPr>
            <w:tcW w:w="960" w:type="dxa"/>
            <w:tcBorders>
              <w:top w:val="nil"/>
              <w:left w:val="nil"/>
              <w:bottom w:val="nil"/>
              <w:right w:val="nil"/>
            </w:tcBorders>
            <w:shd w:val="clear" w:color="000000" w:fill="FFE2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21,5%</w:t>
            </w:r>
          </w:p>
        </w:tc>
        <w:tc>
          <w:tcPr>
            <w:tcW w:w="960" w:type="dxa"/>
            <w:tcBorders>
              <w:top w:val="nil"/>
              <w:left w:val="nil"/>
              <w:bottom w:val="nil"/>
              <w:right w:val="nil"/>
            </w:tcBorders>
            <w:shd w:val="clear" w:color="000000" w:fill="C8DB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Jarošov</w:t>
            </w:r>
          </w:p>
        </w:tc>
        <w:tc>
          <w:tcPr>
            <w:tcW w:w="960" w:type="dxa"/>
            <w:tcBorders>
              <w:top w:val="nil"/>
              <w:left w:val="nil"/>
              <w:bottom w:val="nil"/>
              <w:right w:val="nil"/>
            </w:tcBorders>
            <w:shd w:val="clear" w:color="000000" w:fill="FDB7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29,2%</w:t>
            </w:r>
          </w:p>
        </w:tc>
        <w:tc>
          <w:tcPr>
            <w:tcW w:w="960" w:type="dxa"/>
            <w:tcBorders>
              <w:top w:val="nil"/>
              <w:left w:val="nil"/>
              <w:bottom w:val="nil"/>
              <w:right w:val="nil"/>
            </w:tcBorders>
            <w:shd w:val="clear" w:color="000000" w:fill="FED6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23,6%</w:t>
            </w:r>
          </w:p>
        </w:tc>
        <w:tc>
          <w:tcPr>
            <w:tcW w:w="960" w:type="dxa"/>
            <w:tcBorders>
              <w:top w:val="nil"/>
              <w:left w:val="nil"/>
              <w:bottom w:val="nil"/>
              <w:right w:val="nil"/>
            </w:tcBorders>
            <w:shd w:val="clear" w:color="000000" w:fill="CB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13,9%</w:t>
            </w:r>
          </w:p>
        </w:tc>
        <w:tc>
          <w:tcPr>
            <w:tcW w:w="960" w:type="dxa"/>
            <w:tcBorders>
              <w:top w:val="nil"/>
              <w:left w:val="nil"/>
              <w:bottom w:val="nil"/>
              <w:right w:val="nil"/>
            </w:tcBorders>
            <w:shd w:val="clear" w:color="000000" w:fill="FFDE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22,2%</w:t>
            </w:r>
          </w:p>
        </w:tc>
        <w:tc>
          <w:tcPr>
            <w:tcW w:w="960" w:type="dxa"/>
            <w:tcBorders>
              <w:top w:val="nil"/>
              <w:left w:val="nil"/>
              <w:bottom w:val="nil"/>
              <w:right w:val="nil"/>
            </w:tcBorders>
            <w:shd w:val="clear" w:color="000000" w:fill="B3D5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11,1%</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Javorník</w:t>
            </w:r>
          </w:p>
        </w:tc>
        <w:tc>
          <w:tcPr>
            <w:tcW w:w="960" w:type="dxa"/>
            <w:tcBorders>
              <w:top w:val="nil"/>
              <w:left w:val="nil"/>
              <w:bottom w:val="nil"/>
              <w:right w:val="nil"/>
            </w:tcBorders>
            <w:shd w:val="clear" w:color="000000" w:fill="FECA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25,8%</w:t>
            </w:r>
          </w:p>
        </w:tc>
        <w:tc>
          <w:tcPr>
            <w:tcW w:w="960" w:type="dxa"/>
            <w:tcBorders>
              <w:top w:val="nil"/>
              <w:left w:val="nil"/>
              <w:bottom w:val="nil"/>
              <w:right w:val="nil"/>
            </w:tcBorders>
            <w:shd w:val="clear" w:color="000000" w:fill="FDB7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29,0%</w:t>
            </w:r>
          </w:p>
        </w:tc>
        <w:tc>
          <w:tcPr>
            <w:tcW w:w="960" w:type="dxa"/>
            <w:tcBorders>
              <w:top w:val="nil"/>
              <w:left w:val="nil"/>
              <w:bottom w:val="nil"/>
              <w:right w:val="nil"/>
            </w:tcBorders>
            <w:shd w:val="clear" w:color="000000" w:fill="DFE1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16,1%</w:t>
            </w:r>
          </w:p>
        </w:tc>
        <w:tc>
          <w:tcPr>
            <w:tcW w:w="960" w:type="dxa"/>
            <w:tcBorders>
              <w:top w:val="nil"/>
              <w:left w:val="nil"/>
              <w:bottom w:val="nil"/>
              <w:right w:val="nil"/>
            </w:tcBorders>
            <w:shd w:val="clear" w:color="000000" w:fill="E8E4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17,2%</w:t>
            </w:r>
          </w:p>
        </w:tc>
        <w:tc>
          <w:tcPr>
            <w:tcW w:w="960" w:type="dxa"/>
            <w:tcBorders>
              <w:top w:val="nil"/>
              <w:left w:val="nil"/>
              <w:bottom w:val="nil"/>
              <w:right w:val="nil"/>
            </w:tcBorders>
            <w:shd w:val="clear" w:color="000000" w:fill="B9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11,8%</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Leština</w:t>
            </w:r>
          </w:p>
        </w:tc>
        <w:tc>
          <w:tcPr>
            <w:tcW w:w="960" w:type="dxa"/>
            <w:tcBorders>
              <w:top w:val="nil"/>
              <w:left w:val="nil"/>
              <w:bottom w:val="nil"/>
              <w:right w:val="nil"/>
            </w:tcBorders>
            <w:shd w:val="clear" w:color="000000" w:fill="FCB079"/>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30,3%</w:t>
            </w:r>
          </w:p>
        </w:tc>
        <w:tc>
          <w:tcPr>
            <w:tcW w:w="960" w:type="dxa"/>
            <w:tcBorders>
              <w:top w:val="nil"/>
              <w:left w:val="nil"/>
              <w:bottom w:val="nil"/>
              <w:right w:val="nil"/>
            </w:tcBorders>
            <w:shd w:val="clear" w:color="000000" w:fill="FB977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34,9%</w:t>
            </w:r>
          </w:p>
        </w:tc>
        <w:tc>
          <w:tcPr>
            <w:tcW w:w="960" w:type="dxa"/>
            <w:tcBorders>
              <w:top w:val="nil"/>
              <w:left w:val="nil"/>
              <w:bottom w:val="nil"/>
              <w:right w:val="nil"/>
            </w:tcBorders>
            <w:shd w:val="clear" w:color="000000" w:fill="AAD2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10,1%</w:t>
            </w:r>
          </w:p>
        </w:tc>
        <w:tc>
          <w:tcPr>
            <w:tcW w:w="960" w:type="dxa"/>
            <w:tcBorders>
              <w:top w:val="nil"/>
              <w:left w:val="nil"/>
              <w:bottom w:val="nil"/>
              <w:right w:val="nil"/>
            </w:tcBorders>
            <w:shd w:val="clear" w:color="000000" w:fill="EA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17,4%</w:t>
            </w:r>
          </w:p>
        </w:tc>
        <w:tc>
          <w:tcPr>
            <w:tcW w:w="960" w:type="dxa"/>
            <w:tcBorders>
              <w:top w:val="nil"/>
              <w:left w:val="nil"/>
              <w:bottom w:val="nil"/>
              <w:right w:val="nil"/>
            </w:tcBorders>
            <w:shd w:val="clear" w:color="000000" w:fill="92CB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7,3%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Libecina</w:t>
            </w:r>
          </w:p>
        </w:tc>
        <w:tc>
          <w:tcPr>
            <w:tcW w:w="960" w:type="dxa"/>
            <w:tcBorders>
              <w:top w:val="nil"/>
              <w:left w:val="nil"/>
              <w:bottom w:val="nil"/>
              <w:right w:val="nil"/>
            </w:tcBorders>
            <w:shd w:val="clear" w:color="000000" w:fill="FCAF79"/>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30,4%</w:t>
            </w:r>
          </w:p>
        </w:tc>
        <w:tc>
          <w:tcPr>
            <w:tcW w:w="960" w:type="dxa"/>
            <w:tcBorders>
              <w:top w:val="nil"/>
              <w:left w:val="nil"/>
              <w:bottom w:val="nil"/>
              <w:right w:val="nil"/>
            </w:tcBorders>
            <w:shd w:val="clear" w:color="000000" w:fill="FDB8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29,0%</w:t>
            </w:r>
          </w:p>
        </w:tc>
        <w:tc>
          <w:tcPr>
            <w:tcW w:w="960" w:type="dxa"/>
            <w:tcBorders>
              <w:top w:val="nil"/>
              <w:left w:val="nil"/>
              <w:bottom w:val="nil"/>
              <w:right w:val="nil"/>
            </w:tcBorders>
            <w:shd w:val="clear" w:color="000000" w:fill="F6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18,8%</w:t>
            </w:r>
          </w:p>
        </w:tc>
        <w:tc>
          <w:tcPr>
            <w:tcW w:w="960" w:type="dxa"/>
            <w:tcBorders>
              <w:top w:val="nil"/>
              <w:left w:val="nil"/>
              <w:bottom w:val="nil"/>
              <w:right w:val="nil"/>
            </w:tcBorders>
            <w:shd w:val="clear" w:color="000000" w:fill="9ECF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8,7%</w:t>
            </w:r>
          </w:p>
        </w:tc>
        <w:tc>
          <w:tcPr>
            <w:tcW w:w="960" w:type="dxa"/>
            <w:tcBorders>
              <w:top w:val="nil"/>
              <w:left w:val="nil"/>
              <w:bottom w:val="nil"/>
              <w:right w:val="nil"/>
            </w:tcBorders>
            <w:shd w:val="clear" w:color="000000" w:fill="C4DA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Litomyšl</w:t>
            </w:r>
          </w:p>
        </w:tc>
        <w:tc>
          <w:tcPr>
            <w:tcW w:w="960" w:type="dxa"/>
            <w:tcBorders>
              <w:top w:val="nil"/>
              <w:left w:val="nil"/>
              <w:bottom w:val="nil"/>
              <w:right w:val="nil"/>
            </w:tcBorders>
            <w:shd w:val="clear" w:color="000000" w:fill="FDC5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26,6%</w:t>
            </w:r>
          </w:p>
        </w:tc>
        <w:tc>
          <w:tcPr>
            <w:tcW w:w="960" w:type="dxa"/>
            <w:tcBorders>
              <w:top w:val="nil"/>
              <w:left w:val="nil"/>
              <w:bottom w:val="nil"/>
              <w:right w:val="nil"/>
            </w:tcBorders>
            <w:shd w:val="clear" w:color="000000" w:fill="FCB179"/>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30,2%</w:t>
            </w:r>
          </w:p>
        </w:tc>
        <w:tc>
          <w:tcPr>
            <w:tcW w:w="960" w:type="dxa"/>
            <w:tcBorders>
              <w:top w:val="nil"/>
              <w:left w:val="nil"/>
              <w:bottom w:val="nil"/>
              <w:right w:val="nil"/>
            </w:tcBorders>
            <w:shd w:val="clear" w:color="000000" w:fill="F2E7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18,4%</w:t>
            </w:r>
          </w:p>
        </w:tc>
        <w:tc>
          <w:tcPr>
            <w:tcW w:w="960" w:type="dxa"/>
            <w:tcBorders>
              <w:top w:val="nil"/>
              <w:left w:val="nil"/>
              <w:bottom w:val="nil"/>
              <w:right w:val="nil"/>
            </w:tcBorders>
            <w:shd w:val="clear" w:color="000000" w:fill="E1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16,4%</w:t>
            </w:r>
          </w:p>
        </w:tc>
        <w:tc>
          <w:tcPr>
            <w:tcW w:w="960" w:type="dxa"/>
            <w:tcBorders>
              <w:top w:val="nil"/>
              <w:left w:val="nil"/>
              <w:bottom w:val="nil"/>
              <w:right w:val="nil"/>
            </w:tcBorders>
            <w:shd w:val="clear" w:color="000000" w:fill="9CCE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Lubná</w:t>
            </w:r>
          </w:p>
        </w:tc>
        <w:tc>
          <w:tcPr>
            <w:tcW w:w="960" w:type="dxa"/>
            <w:tcBorders>
              <w:top w:val="nil"/>
              <w:left w:val="nil"/>
              <w:bottom w:val="nil"/>
              <w:right w:val="nil"/>
            </w:tcBorders>
            <w:shd w:val="clear" w:color="000000" w:fill="FED4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24,0%</w:t>
            </w:r>
          </w:p>
        </w:tc>
        <w:tc>
          <w:tcPr>
            <w:tcW w:w="960" w:type="dxa"/>
            <w:tcBorders>
              <w:top w:val="nil"/>
              <w:left w:val="nil"/>
              <w:bottom w:val="nil"/>
              <w:right w:val="nil"/>
            </w:tcBorders>
            <w:shd w:val="clear" w:color="000000" w:fill="FFDE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22,3%</w:t>
            </w:r>
          </w:p>
        </w:tc>
        <w:tc>
          <w:tcPr>
            <w:tcW w:w="960" w:type="dxa"/>
            <w:tcBorders>
              <w:top w:val="nil"/>
              <w:left w:val="nil"/>
              <w:bottom w:val="nil"/>
              <w:right w:val="nil"/>
            </w:tcBorders>
            <w:shd w:val="clear" w:color="000000" w:fill="DAE0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15,6%</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23,7%</w:t>
            </w:r>
          </w:p>
        </w:tc>
        <w:tc>
          <w:tcPr>
            <w:tcW w:w="960" w:type="dxa"/>
            <w:tcBorders>
              <w:top w:val="nil"/>
              <w:left w:val="nil"/>
              <w:bottom w:val="nil"/>
              <w:right w:val="nil"/>
            </w:tcBorders>
            <w:shd w:val="clear" w:color="000000" w:fill="D0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Makov</w:t>
            </w:r>
          </w:p>
        </w:tc>
        <w:tc>
          <w:tcPr>
            <w:tcW w:w="960" w:type="dxa"/>
            <w:tcBorders>
              <w:top w:val="nil"/>
              <w:left w:val="nil"/>
              <w:bottom w:val="nil"/>
              <w:right w:val="nil"/>
            </w:tcBorders>
            <w:shd w:val="clear" w:color="000000" w:fill="FFE1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21,6%</w:t>
            </w:r>
          </w:p>
        </w:tc>
        <w:tc>
          <w:tcPr>
            <w:tcW w:w="960" w:type="dxa"/>
            <w:tcBorders>
              <w:top w:val="nil"/>
              <w:left w:val="nil"/>
              <w:bottom w:val="nil"/>
              <w:right w:val="nil"/>
            </w:tcBorders>
            <w:shd w:val="clear" w:color="000000" w:fill="FED2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24,3%</w:t>
            </w:r>
          </w:p>
        </w:tc>
        <w:tc>
          <w:tcPr>
            <w:tcW w:w="960" w:type="dxa"/>
            <w:tcBorders>
              <w:top w:val="nil"/>
              <w:left w:val="nil"/>
              <w:bottom w:val="nil"/>
              <w:right w:val="nil"/>
            </w:tcBorders>
            <w:shd w:val="clear" w:color="000000" w:fill="E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18,0%</w:t>
            </w:r>
          </w:p>
        </w:tc>
        <w:tc>
          <w:tcPr>
            <w:tcW w:w="960" w:type="dxa"/>
            <w:tcBorders>
              <w:top w:val="nil"/>
              <w:left w:val="nil"/>
              <w:bottom w:val="nil"/>
              <w:right w:val="nil"/>
            </w:tcBorders>
            <w:shd w:val="clear" w:color="000000" w:fill="FFEB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19,8%</w:t>
            </w:r>
          </w:p>
        </w:tc>
        <w:tc>
          <w:tcPr>
            <w:tcW w:w="960" w:type="dxa"/>
            <w:tcBorders>
              <w:top w:val="nil"/>
              <w:left w:val="nil"/>
              <w:bottom w:val="nil"/>
              <w:right w:val="nil"/>
            </w:tcBorders>
            <w:shd w:val="clear" w:color="000000" w:fill="DF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16,2%</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Morašice</w:t>
            </w:r>
          </w:p>
        </w:tc>
        <w:tc>
          <w:tcPr>
            <w:tcW w:w="960" w:type="dxa"/>
            <w:tcBorders>
              <w:top w:val="nil"/>
              <w:left w:val="nil"/>
              <w:bottom w:val="nil"/>
              <w:right w:val="nil"/>
            </w:tcBorders>
            <w:shd w:val="clear" w:color="000000" w:fill="FFEB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19,9%</w:t>
            </w:r>
          </w:p>
        </w:tc>
        <w:tc>
          <w:tcPr>
            <w:tcW w:w="960" w:type="dxa"/>
            <w:tcBorders>
              <w:top w:val="nil"/>
              <w:left w:val="nil"/>
              <w:bottom w:val="nil"/>
              <w:right w:val="nil"/>
            </w:tcBorders>
            <w:shd w:val="clear" w:color="000000" w:fill="FEC7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26,3%</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23,7%</w:t>
            </w:r>
          </w:p>
        </w:tc>
        <w:tc>
          <w:tcPr>
            <w:tcW w:w="960" w:type="dxa"/>
            <w:tcBorders>
              <w:top w:val="nil"/>
              <w:left w:val="nil"/>
              <w:bottom w:val="nil"/>
              <w:right w:val="nil"/>
            </w:tcBorders>
            <w:shd w:val="clear" w:color="000000" w:fill="FFE4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21,2%</w:t>
            </w:r>
          </w:p>
        </w:tc>
        <w:tc>
          <w:tcPr>
            <w:tcW w:w="960" w:type="dxa"/>
            <w:tcBorders>
              <w:top w:val="nil"/>
              <w:left w:val="nil"/>
              <w:bottom w:val="nil"/>
              <w:right w:val="nil"/>
            </w:tcBorders>
            <w:shd w:val="clear" w:color="000000" w:fill="A0CF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Němčice</w:t>
            </w:r>
          </w:p>
        </w:tc>
        <w:tc>
          <w:tcPr>
            <w:tcW w:w="960" w:type="dxa"/>
            <w:tcBorders>
              <w:top w:val="nil"/>
              <w:left w:val="nil"/>
              <w:bottom w:val="nil"/>
              <w:right w:val="nil"/>
            </w:tcBorders>
            <w:shd w:val="clear" w:color="000000" w:fill="FEEA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19,7%</w:t>
            </w:r>
          </w:p>
        </w:tc>
        <w:tc>
          <w:tcPr>
            <w:tcW w:w="960" w:type="dxa"/>
            <w:tcBorders>
              <w:top w:val="nil"/>
              <w:left w:val="nil"/>
              <w:bottom w:val="nil"/>
              <w:right w:val="nil"/>
            </w:tcBorders>
            <w:shd w:val="clear" w:color="000000" w:fill="FECA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25,8%</w:t>
            </w:r>
          </w:p>
        </w:tc>
        <w:tc>
          <w:tcPr>
            <w:tcW w:w="960" w:type="dxa"/>
            <w:tcBorders>
              <w:top w:val="nil"/>
              <w:left w:val="nil"/>
              <w:bottom w:val="nil"/>
              <w:right w:val="nil"/>
            </w:tcBorders>
            <w:shd w:val="clear" w:color="000000" w:fill="E2E2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16,6%</w:t>
            </w:r>
          </w:p>
        </w:tc>
        <w:tc>
          <w:tcPr>
            <w:tcW w:w="960" w:type="dxa"/>
            <w:tcBorders>
              <w:top w:val="nil"/>
              <w:left w:val="nil"/>
              <w:bottom w:val="nil"/>
              <w:right w:val="nil"/>
            </w:tcBorders>
            <w:shd w:val="clear" w:color="000000" w:fill="FFDA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22,9%</w:t>
            </w:r>
          </w:p>
        </w:tc>
        <w:tc>
          <w:tcPr>
            <w:tcW w:w="960" w:type="dxa"/>
            <w:tcBorders>
              <w:top w:val="nil"/>
              <w:left w:val="nil"/>
              <w:bottom w:val="nil"/>
              <w:right w:val="nil"/>
            </w:tcBorders>
            <w:shd w:val="clear" w:color="000000" w:fill="D5DE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Nová Sídla</w:t>
            </w:r>
          </w:p>
        </w:tc>
        <w:tc>
          <w:tcPr>
            <w:tcW w:w="960" w:type="dxa"/>
            <w:tcBorders>
              <w:top w:val="nil"/>
              <w:left w:val="nil"/>
              <w:bottom w:val="nil"/>
              <w:right w:val="nil"/>
            </w:tcBorders>
            <w:shd w:val="clear" w:color="000000" w:fill="FFD9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23,1%</w:t>
            </w:r>
          </w:p>
        </w:tc>
        <w:tc>
          <w:tcPr>
            <w:tcW w:w="960" w:type="dxa"/>
            <w:tcBorders>
              <w:top w:val="nil"/>
              <w:left w:val="nil"/>
              <w:bottom w:val="nil"/>
              <w:right w:val="nil"/>
            </w:tcBorders>
            <w:shd w:val="clear" w:color="000000" w:fill="FDBC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28,2%</w:t>
            </w:r>
          </w:p>
        </w:tc>
        <w:tc>
          <w:tcPr>
            <w:tcW w:w="960" w:type="dxa"/>
            <w:tcBorders>
              <w:top w:val="nil"/>
              <w:left w:val="nil"/>
              <w:bottom w:val="nil"/>
              <w:right w:val="nil"/>
            </w:tcBorders>
            <w:shd w:val="clear" w:color="000000" w:fill="D8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15,4%</w:t>
            </w:r>
          </w:p>
        </w:tc>
        <w:tc>
          <w:tcPr>
            <w:tcW w:w="960" w:type="dxa"/>
            <w:tcBorders>
              <w:top w:val="nil"/>
              <w:left w:val="nil"/>
              <w:bottom w:val="nil"/>
              <w:right w:val="nil"/>
            </w:tcBorders>
            <w:shd w:val="clear" w:color="000000" w:fill="D8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15,4%</w:t>
            </w:r>
          </w:p>
        </w:tc>
        <w:tc>
          <w:tcPr>
            <w:tcW w:w="960" w:type="dxa"/>
            <w:tcBorders>
              <w:top w:val="nil"/>
              <w:left w:val="nil"/>
              <w:bottom w:val="nil"/>
              <w:right w:val="nil"/>
            </w:tcBorders>
            <w:shd w:val="clear" w:color="000000" w:fill="E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Nová Ves u Jarošova</w:t>
            </w:r>
          </w:p>
        </w:tc>
        <w:tc>
          <w:tcPr>
            <w:tcW w:w="960" w:type="dxa"/>
            <w:tcBorders>
              <w:top w:val="nil"/>
              <w:left w:val="nil"/>
              <w:bottom w:val="nil"/>
              <w:right w:val="nil"/>
            </w:tcBorders>
            <w:shd w:val="clear" w:color="000000" w:fill="F8696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42,9%</w:t>
            </w:r>
          </w:p>
        </w:tc>
        <w:tc>
          <w:tcPr>
            <w:tcW w:w="960" w:type="dxa"/>
            <w:tcBorders>
              <w:top w:val="nil"/>
              <w:left w:val="nil"/>
              <w:bottom w:val="nil"/>
              <w:right w:val="nil"/>
            </w:tcBorders>
            <w:shd w:val="clear" w:color="000000" w:fill="CF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14,3%</w:t>
            </w:r>
          </w:p>
        </w:tc>
        <w:tc>
          <w:tcPr>
            <w:tcW w:w="960" w:type="dxa"/>
            <w:tcBorders>
              <w:top w:val="nil"/>
              <w:left w:val="nil"/>
              <w:bottom w:val="nil"/>
              <w:right w:val="nil"/>
            </w:tcBorders>
            <w:shd w:val="clear" w:color="000000" w:fill="7CC5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4,8%</w:t>
            </w:r>
          </w:p>
        </w:tc>
        <w:tc>
          <w:tcPr>
            <w:tcW w:w="960" w:type="dxa"/>
            <w:tcBorders>
              <w:top w:val="nil"/>
              <w:left w:val="nil"/>
              <w:bottom w:val="nil"/>
              <w:right w:val="nil"/>
            </w:tcBorders>
            <w:shd w:val="clear" w:color="000000" w:fill="CF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14,3%</w:t>
            </w:r>
          </w:p>
        </w:tc>
        <w:tc>
          <w:tcPr>
            <w:tcW w:w="960" w:type="dxa"/>
            <w:tcBorders>
              <w:top w:val="nil"/>
              <w:left w:val="nil"/>
              <w:bottom w:val="nil"/>
              <w:right w:val="nil"/>
            </w:tcBorders>
            <w:shd w:val="clear" w:color="000000" w:fill="FED5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23,8%</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Nové Hrady</w:t>
            </w:r>
          </w:p>
        </w:tc>
        <w:tc>
          <w:tcPr>
            <w:tcW w:w="960" w:type="dxa"/>
            <w:tcBorders>
              <w:top w:val="nil"/>
              <w:left w:val="nil"/>
              <w:bottom w:val="nil"/>
              <w:right w:val="nil"/>
            </w:tcBorders>
            <w:shd w:val="clear" w:color="000000" w:fill="FCB279"/>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30,0%</w:t>
            </w:r>
          </w:p>
        </w:tc>
        <w:tc>
          <w:tcPr>
            <w:tcW w:w="960" w:type="dxa"/>
            <w:tcBorders>
              <w:top w:val="nil"/>
              <w:left w:val="nil"/>
              <w:bottom w:val="nil"/>
              <w:right w:val="nil"/>
            </w:tcBorders>
            <w:shd w:val="clear" w:color="000000" w:fill="FFDF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22,0%</w:t>
            </w:r>
          </w:p>
        </w:tc>
        <w:tc>
          <w:tcPr>
            <w:tcW w:w="960" w:type="dxa"/>
            <w:tcBorders>
              <w:top w:val="nil"/>
              <w:left w:val="nil"/>
              <w:bottom w:val="nil"/>
              <w:right w:val="nil"/>
            </w:tcBorders>
            <w:shd w:val="clear" w:color="000000" w:fill="BBD7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12,0%</w:t>
            </w:r>
          </w:p>
        </w:tc>
        <w:tc>
          <w:tcPr>
            <w:tcW w:w="960" w:type="dxa"/>
            <w:tcBorders>
              <w:top w:val="nil"/>
              <w:left w:val="nil"/>
              <w:bottom w:val="nil"/>
              <w:right w:val="nil"/>
            </w:tcBorders>
            <w:shd w:val="clear" w:color="000000" w:fill="E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18,0%</w:t>
            </w:r>
          </w:p>
        </w:tc>
        <w:tc>
          <w:tcPr>
            <w:tcW w:w="960" w:type="dxa"/>
            <w:tcBorders>
              <w:top w:val="nil"/>
              <w:left w:val="nil"/>
              <w:bottom w:val="nil"/>
              <w:right w:val="nil"/>
            </w:tcBorders>
            <w:shd w:val="clear" w:color="000000" w:fill="EF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Osík</w:t>
            </w:r>
          </w:p>
        </w:tc>
        <w:tc>
          <w:tcPr>
            <w:tcW w:w="960" w:type="dxa"/>
            <w:tcBorders>
              <w:top w:val="nil"/>
              <w:left w:val="nil"/>
              <w:bottom w:val="nil"/>
              <w:right w:val="nil"/>
            </w:tcBorders>
            <w:shd w:val="clear" w:color="000000" w:fill="FFEB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19,9%</w:t>
            </w:r>
          </w:p>
        </w:tc>
        <w:tc>
          <w:tcPr>
            <w:tcW w:w="960" w:type="dxa"/>
            <w:tcBorders>
              <w:top w:val="nil"/>
              <w:left w:val="nil"/>
              <w:bottom w:val="nil"/>
              <w:right w:val="nil"/>
            </w:tcBorders>
            <w:shd w:val="clear" w:color="000000" w:fill="FDBC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28,1%</w:t>
            </w:r>
          </w:p>
        </w:tc>
        <w:tc>
          <w:tcPr>
            <w:tcW w:w="960" w:type="dxa"/>
            <w:tcBorders>
              <w:top w:val="nil"/>
              <w:left w:val="nil"/>
              <w:bottom w:val="nil"/>
              <w:right w:val="nil"/>
            </w:tcBorders>
            <w:shd w:val="clear" w:color="000000" w:fill="DFE1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16,2%</w:t>
            </w:r>
          </w:p>
        </w:tc>
        <w:tc>
          <w:tcPr>
            <w:tcW w:w="960" w:type="dxa"/>
            <w:tcBorders>
              <w:top w:val="nil"/>
              <w:left w:val="nil"/>
              <w:bottom w:val="nil"/>
              <w:right w:val="nil"/>
            </w:tcBorders>
            <w:shd w:val="clear" w:color="000000" w:fill="FED6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23,6%</w:t>
            </w:r>
          </w:p>
        </w:tc>
        <w:tc>
          <w:tcPr>
            <w:tcW w:w="960" w:type="dxa"/>
            <w:tcBorders>
              <w:top w:val="nil"/>
              <w:left w:val="nil"/>
              <w:bottom w:val="nil"/>
              <w:right w:val="nil"/>
            </w:tcBorders>
            <w:shd w:val="clear" w:color="000000" w:fill="BDD8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12,2%</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Otradov</w:t>
            </w:r>
          </w:p>
        </w:tc>
        <w:tc>
          <w:tcPr>
            <w:tcW w:w="960" w:type="dxa"/>
            <w:tcBorders>
              <w:top w:val="nil"/>
              <w:left w:val="nil"/>
              <w:bottom w:val="nil"/>
              <w:right w:val="nil"/>
            </w:tcBorders>
            <w:shd w:val="clear" w:color="000000" w:fill="FED3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24,2%</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C5DA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13,2%</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Perálec</w:t>
            </w:r>
          </w:p>
        </w:tc>
        <w:tc>
          <w:tcPr>
            <w:tcW w:w="960" w:type="dxa"/>
            <w:tcBorders>
              <w:top w:val="nil"/>
              <w:left w:val="nil"/>
              <w:bottom w:val="nil"/>
              <w:right w:val="nil"/>
            </w:tcBorders>
            <w:shd w:val="clear" w:color="000000" w:fill="FDC6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26,4%</w:t>
            </w:r>
          </w:p>
        </w:tc>
        <w:tc>
          <w:tcPr>
            <w:tcW w:w="960" w:type="dxa"/>
            <w:tcBorders>
              <w:top w:val="nil"/>
              <w:left w:val="nil"/>
              <w:bottom w:val="nil"/>
              <w:right w:val="nil"/>
            </w:tcBorders>
            <w:shd w:val="clear" w:color="000000" w:fill="FED3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24,1%</w:t>
            </w:r>
          </w:p>
        </w:tc>
        <w:tc>
          <w:tcPr>
            <w:tcW w:w="960" w:type="dxa"/>
            <w:tcBorders>
              <w:top w:val="nil"/>
              <w:left w:val="nil"/>
              <w:bottom w:val="nil"/>
              <w:right w:val="nil"/>
            </w:tcBorders>
            <w:shd w:val="clear" w:color="000000" w:fill="DEE1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16,1%</w:t>
            </w:r>
          </w:p>
        </w:tc>
        <w:tc>
          <w:tcPr>
            <w:tcW w:w="960" w:type="dxa"/>
            <w:tcBorders>
              <w:top w:val="nil"/>
              <w:left w:val="nil"/>
              <w:bottom w:val="nil"/>
              <w:right w:val="nil"/>
            </w:tcBorders>
            <w:shd w:val="clear" w:color="000000" w:fill="FECC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25,3%</w:t>
            </w:r>
          </w:p>
        </w:tc>
        <w:tc>
          <w:tcPr>
            <w:tcW w:w="960" w:type="dxa"/>
            <w:tcBorders>
              <w:top w:val="nil"/>
              <w:left w:val="nil"/>
              <w:bottom w:val="nil"/>
              <w:right w:val="nil"/>
            </w:tcBorders>
            <w:shd w:val="clear" w:color="000000" w:fill="98CD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Poříčí u Litomyšle</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F7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19,0%</w:t>
            </w:r>
          </w:p>
        </w:tc>
        <w:tc>
          <w:tcPr>
            <w:tcW w:w="960" w:type="dxa"/>
            <w:tcBorders>
              <w:top w:val="nil"/>
              <w:left w:val="nil"/>
              <w:bottom w:val="nil"/>
              <w:right w:val="nil"/>
            </w:tcBorders>
            <w:shd w:val="clear" w:color="000000" w:fill="F7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19,0%</w:t>
            </w:r>
          </w:p>
        </w:tc>
        <w:tc>
          <w:tcPr>
            <w:tcW w:w="960" w:type="dxa"/>
            <w:tcBorders>
              <w:top w:val="nil"/>
              <w:left w:val="nil"/>
              <w:bottom w:val="nil"/>
              <w:right w:val="nil"/>
            </w:tcBorders>
            <w:shd w:val="clear" w:color="000000" w:fill="FDBD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28,1%</w:t>
            </w:r>
          </w:p>
        </w:tc>
        <w:tc>
          <w:tcPr>
            <w:tcW w:w="960" w:type="dxa"/>
            <w:tcBorders>
              <w:top w:val="nil"/>
              <w:left w:val="nil"/>
              <w:bottom w:val="nil"/>
              <w:right w:val="nil"/>
            </w:tcBorders>
            <w:shd w:val="clear" w:color="000000" w:fill="C4DA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13,1%</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Proseč</w:t>
            </w:r>
          </w:p>
        </w:tc>
        <w:tc>
          <w:tcPr>
            <w:tcW w:w="960" w:type="dxa"/>
            <w:tcBorders>
              <w:top w:val="nil"/>
              <w:left w:val="nil"/>
              <w:bottom w:val="nil"/>
              <w:right w:val="nil"/>
            </w:tcBorders>
            <w:shd w:val="clear" w:color="000000" w:fill="FECE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25,0%</w:t>
            </w:r>
          </w:p>
        </w:tc>
        <w:tc>
          <w:tcPr>
            <w:tcW w:w="960" w:type="dxa"/>
            <w:tcBorders>
              <w:top w:val="nil"/>
              <w:left w:val="nil"/>
              <w:bottom w:val="nil"/>
              <w:right w:val="nil"/>
            </w:tcBorders>
            <w:shd w:val="clear" w:color="000000" w:fill="FDC0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27,6%</w:t>
            </w:r>
          </w:p>
        </w:tc>
        <w:tc>
          <w:tcPr>
            <w:tcW w:w="960" w:type="dxa"/>
            <w:tcBorders>
              <w:top w:val="nil"/>
              <w:left w:val="nil"/>
              <w:bottom w:val="nil"/>
              <w:right w:val="nil"/>
            </w:tcBorders>
            <w:shd w:val="clear" w:color="000000" w:fill="E8E4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17,2%</w:t>
            </w:r>
          </w:p>
        </w:tc>
        <w:tc>
          <w:tcPr>
            <w:tcW w:w="960" w:type="dxa"/>
            <w:tcBorders>
              <w:top w:val="nil"/>
              <w:left w:val="nil"/>
              <w:bottom w:val="nil"/>
              <w:right w:val="nil"/>
            </w:tcBorders>
            <w:shd w:val="clear" w:color="000000" w:fill="D9E0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15,4%</w:t>
            </w:r>
          </w:p>
        </w:tc>
        <w:tc>
          <w:tcPr>
            <w:tcW w:w="960" w:type="dxa"/>
            <w:tcBorders>
              <w:top w:val="nil"/>
              <w:left w:val="nil"/>
              <w:bottom w:val="nil"/>
              <w:right w:val="nil"/>
            </w:tcBorders>
            <w:shd w:val="clear" w:color="000000" w:fill="D3DE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14,8%</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Příluka</w:t>
            </w:r>
          </w:p>
        </w:tc>
        <w:tc>
          <w:tcPr>
            <w:tcW w:w="960" w:type="dxa"/>
            <w:tcBorders>
              <w:top w:val="nil"/>
              <w:left w:val="nil"/>
              <w:bottom w:val="nil"/>
              <w:right w:val="nil"/>
            </w:tcBorders>
            <w:shd w:val="clear" w:color="000000" w:fill="FFEA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20,0%</w:t>
            </w:r>
          </w:p>
        </w:tc>
        <w:tc>
          <w:tcPr>
            <w:tcW w:w="960" w:type="dxa"/>
            <w:tcBorders>
              <w:top w:val="nil"/>
              <w:left w:val="nil"/>
              <w:bottom w:val="nil"/>
              <w:right w:val="nil"/>
            </w:tcBorders>
            <w:shd w:val="clear" w:color="000000" w:fill="F1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18,2%</w:t>
            </w:r>
          </w:p>
        </w:tc>
        <w:tc>
          <w:tcPr>
            <w:tcW w:w="960" w:type="dxa"/>
            <w:tcBorders>
              <w:top w:val="nil"/>
              <w:left w:val="nil"/>
              <w:bottom w:val="nil"/>
              <w:right w:val="nil"/>
            </w:tcBorders>
            <w:shd w:val="clear" w:color="000000" w:fill="F1E6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18,2%</w:t>
            </w:r>
          </w:p>
        </w:tc>
        <w:tc>
          <w:tcPr>
            <w:tcW w:w="960" w:type="dxa"/>
            <w:tcBorders>
              <w:top w:val="nil"/>
              <w:left w:val="nil"/>
              <w:bottom w:val="nil"/>
              <w:right w:val="nil"/>
            </w:tcBorders>
            <w:shd w:val="clear" w:color="000000" w:fill="FFEA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20,0%</w:t>
            </w:r>
          </w:p>
        </w:tc>
        <w:tc>
          <w:tcPr>
            <w:tcW w:w="960" w:type="dxa"/>
            <w:tcBorders>
              <w:top w:val="nil"/>
              <w:left w:val="nil"/>
              <w:bottom w:val="nil"/>
              <w:right w:val="nil"/>
            </w:tcBorders>
            <w:shd w:val="clear" w:color="000000" w:fill="FED6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23,6%</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Pustina</w:t>
            </w:r>
          </w:p>
        </w:tc>
        <w:tc>
          <w:tcPr>
            <w:tcW w:w="960" w:type="dxa"/>
            <w:tcBorders>
              <w:top w:val="nil"/>
              <w:left w:val="nil"/>
              <w:bottom w:val="nil"/>
              <w:right w:val="nil"/>
            </w:tcBorders>
            <w:shd w:val="clear" w:color="000000" w:fill="FCA577"/>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32,4%</w:t>
            </w:r>
          </w:p>
        </w:tc>
        <w:tc>
          <w:tcPr>
            <w:tcW w:w="960" w:type="dxa"/>
            <w:tcBorders>
              <w:top w:val="nil"/>
              <w:left w:val="nil"/>
              <w:bottom w:val="nil"/>
              <w:right w:val="nil"/>
            </w:tcBorders>
            <w:shd w:val="clear" w:color="000000" w:fill="F9736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41,2%</w:t>
            </w:r>
          </w:p>
        </w:tc>
        <w:tc>
          <w:tcPr>
            <w:tcW w:w="960" w:type="dxa"/>
            <w:tcBorders>
              <w:top w:val="nil"/>
              <w:left w:val="nil"/>
              <w:bottom w:val="nil"/>
              <w:right w:val="nil"/>
            </w:tcBorders>
            <w:shd w:val="clear" w:color="000000" w:fill="D2DE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14,7%</w:t>
            </w:r>
          </w:p>
        </w:tc>
        <w:tc>
          <w:tcPr>
            <w:tcW w:w="960" w:type="dxa"/>
            <w:tcBorders>
              <w:top w:val="nil"/>
              <w:left w:val="nil"/>
              <w:bottom w:val="nil"/>
              <w:right w:val="nil"/>
            </w:tcBorders>
            <w:shd w:val="clear" w:color="000000" w:fill="9FCF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8,8%</w:t>
            </w:r>
          </w:p>
        </w:tc>
        <w:tc>
          <w:tcPr>
            <w:tcW w:w="960" w:type="dxa"/>
            <w:tcBorders>
              <w:top w:val="nil"/>
              <w:left w:val="nil"/>
              <w:bottom w:val="nil"/>
              <w:right w:val="nil"/>
            </w:tcBorders>
            <w:shd w:val="clear" w:color="000000" w:fill="6CC0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Řídký</w:t>
            </w:r>
          </w:p>
        </w:tc>
        <w:tc>
          <w:tcPr>
            <w:tcW w:w="960" w:type="dxa"/>
            <w:tcBorders>
              <w:top w:val="nil"/>
              <w:left w:val="nil"/>
              <w:bottom w:val="nil"/>
              <w:right w:val="nil"/>
            </w:tcBorders>
            <w:shd w:val="clear" w:color="000000" w:fill="FAE9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19,2%</w:t>
            </w:r>
          </w:p>
        </w:tc>
        <w:tc>
          <w:tcPr>
            <w:tcW w:w="960" w:type="dxa"/>
            <w:tcBorders>
              <w:top w:val="nil"/>
              <w:left w:val="nil"/>
              <w:bottom w:val="nil"/>
              <w:right w:val="nil"/>
            </w:tcBorders>
            <w:shd w:val="clear" w:color="000000" w:fill="FAE9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19,2%</w:t>
            </w:r>
          </w:p>
        </w:tc>
        <w:tc>
          <w:tcPr>
            <w:tcW w:w="960" w:type="dxa"/>
            <w:tcBorders>
              <w:top w:val="nil"/>
              <w:left w:val="nil"/>
              <w:bottom w:val="nil"/>
              <w:right w:val="nil"/>
            </w:tcBorders>
            <w:shd w:val="clear" w:color="000000" w:fill="FB987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34,6%</w:t>
            </w:r>
          </w:p>
        </w:tc>
        <w:tc>
          <w:tcPr>
            <w:tcW w:w="960" w:type="dxa"/>
            <w:tcBorders>
              <w:top w:val="nil"/>
              <w:left w:val="nil"/>
              <w:bottom w:val="nil"/>
              <w:right w:val="nil"/>
            </w:tcBorders>
            <w:shd w:val="clear" w:color="000000" w:fill="D8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15,4%</w:t>
            </w:r>
          </w:p>
        </w:tc>
        <w:tc>
          <w:tcPr>
            <w:tcW w:w="960" w:type="dxa"/>
            <w:tcBorders>
              <w:top w:val="nil"/>
              <w:left w:val="nil"/>
              <w:bottom w:val="nil"/>
              <w:right w:val="nil"/>
            </w:tcBorders>
            <w:shd w:val="clear" w:color="000000" w:fill="B7D6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Sebranice</w:t>
            </w:r>
          </w:p>
        </w:tc>
        <w:tc>
          <w:tcPr>
            <w:tcW w:w="960" w:type="dxa"/>
            <w:tcBorders>
              <w:top w:val="nil"/>
              <w:left w:val="nil"/>
              <w:bottom w:val="nil"/>
              <w:right w:val="nil"/>
            </w:tcBorders>
            <w:shd w:val="clear" w:color="000000" w:fill="E5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16,9%</w:t>
            </w:r>
          </w:p>
        </w:tc>
        <w:tc>
          <w:tcPr>
            <w:tcW w:w="960" w:type="dxa"/>
            <w:tcBorders>
              <w:top w:val="nil"/>
              <w:left w:val="nil"/>
              <w:bottom w:val="nil"/>
              <w:right w:val="nil"/>
            </w:tcBorders>
            <w:shd w:val="clear" w:color="000000" w:fill="FECD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25,2%</w:t>
            </w:r>
          </w:p>
        </w:tc>
        <w:tc>
          <w:tcPr>
            <w:tcW w:w="960" w:type="dxa"/>
            <w:tcBorders>
              <w:top w:val="nil"/>
              <w:left w:val="nil"/>
              <w:bottom w:val="nil"/>
              <w:right w:val="nil"/>
            </w:tcBorders>
            <w:shd w:val="clear" w:color="000000" w:fill="FFE9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20,2%</w:t>
            </w:r>
          </w:p>
        </w:tc>
        <w:tc>
          <w:tcPr>
            <w:tcW w:w="960" w:type="dxa"/>
            <w:tcBorders>
              <w:top w:val="nil"/>
              <w:left w:val="nil"/>
              <w:bottom w:val="nil"/>
              <w:right w:val="nil"/>
            </w:tcBorders>
            <w:shd w:val="clear" w:color="000000" w:fill="E5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16,9%</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Sedliště</w:t>
            </w:r>
          </w:p>
        </w:tc>
        <w:tc>
          <w:tcPr>
            <w:tcW w:w="960" w:type="dxa"/>
            <w:tcBorders>
              <w:top w:val="nil"/>
              <w:left w:val="nil"/>
              <w:bottom w:val="nil"/>
              <w:right w:val="nil"/>
            </w:tcBorders>
            <w:shd w:val="clear" w:color="000000" w:fill="FEEA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19,7%</w:t>
            </w:r>
          </w:p>
        </w:tc>
        <w:tc>
          <w:tcPr>
            <w:tcW w:w="960" w:type="dxa"/>
            <w:tcBorders>
              <w:top w:val="nil"/>
              <w:left w:val="nil"/>
              <w:bottom w:val="nil"/>
              <w:right w:val="nil"/>
            </w:tcBorders>
            <w:shd w:val="clear" w:color="000000" w:fill="FECE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25,0%</w:t>
            </w:r>
          </w:p>
        </w:tc>
        <w:tc>
          <w:tcPr>
            <w:tcW w:w="960" w:type="dxa"/>
            <w:tcBorders>
              <w:top w:val="nil"/>
              <w:left w:val="nil"/>
              <w:bottom w:val="nil"/>
              <w:right w:val="nil"/>
            </w:tcBorders>
            <w:shd w:val="clear" w:color="000000" w:fill="A3D0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9,2%</w:t>
            </w:r>
          </w:p>
        </w:tc>
        <w:tc>
          <w:tcPr>
            <w:tcW w:w="960" w:type="dxa"/>
            <w:tcBorders>
              <w:top w:val="nil"/>
              <w:left w:val="nil"/>
              <w:bottom w:val="nil"/>
              <w:right w:val="nil"/>
            </w:tcBorders>
            <w:shd w:val="clear" w:color="000000" w:fill="FED6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23,7%</w:t>
            </w:r>
          </w:p>
        </w:tc>
        <w:tc>
          <w:tcPr>
            <w:tcW w:w="960" w:type="dxa"/>
            <w:tcBorders>
              <w:top w:val="nil"/>
              <w:left w:val="nil"/>
              <w:bottom w:val="nil"/>
              <w:right w:val="nil"/>
            </w:tcBorders>
            <w:shd w:val="clear" w:color="000000" w:fill="FFDD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22,4%</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Sloupnice</w:t>
            </w:r>
          </w:p>
        </w:tc>
        <w:tc>
          <w:tcPr>
            <w:tcW w:w="960" w:type="dxa"/>
            <w:tcBorders>
              <w:top w:val="nil"/>
              <w:left w:val="nil"/>
              <w:bottom w:val="nil"/>
              <w:right w:val="nil"/>
            </w:tcBorders>
            <w:shd w:val="clear" w:color="000000" w:fill="FED4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24,0%</w:t>
            </w:r>
          </w:p>
        </w:tc>
        <w:tc>
          <w:tcPr>
            <w:tcW w:w="960" w:type="dxa"/>
            <w:tcBorders>
              <w:top w:val="nil"/>
              <w:left w:val="nil"/>
              <w:bottom w:val="nil"/>
              <w:right w:val="nil"/>
            </w:tcBorders>
            <w:shd w:val="clear" w:color="000000" w:fill="FDBB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28,4%</w:t>
            </w:r>
          </w:p>
        </w:tc>
        <w:tc>
          <w:tcPr>
            <w:tcW w:w="960" w:type="dxa"/>
            <w:tcBorders>
              <w:top w:val="nil"/>
              <w:left w:val="nil"/>
              <w:bottom w:val="nil"/>
              <w:right w:val="nil"/>
            </w:tcBorders>
            <w:shd w:val="clear" w:color="000000" w:fill="D8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15,3%</w:t>
            </w:r>
          </w:p>
        </w:tc>
        <w:tc>
          <w:tcPr>
            <w:tcW w:w="960" w:type="dxa"/>
            <w:tcBorders>
              <w:top w:val="nil"/>
              <w:left w:val="nil"/>
              <w:bottom w:val="nil"/>
              <w:right w:val="nil"/>
            </w:tcBorders>
            <w:shd w:val="clear" w:color="000000" w:fill="FFDD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22,3%</w:t>
            </w:r>
          </w:p>
        </w:tc>
        <w:tc>
          <w:tcPr>
            <w:tcW w:w="960" w:type="dxa"/>
            <w:tcBorders>
              <w:top w:val="nil"/>
              <w:left w:val="nil"/>
              <w:bottom w:val="nil"/>
              <w:right w:val="nil"/>
            </w:tcBorders>
            <w:shd w:val="clear" w:color="000000" w:fill="AAD2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Strakov</w:t>
            </w:r>
          </w:p>
        </w:tc>
        <w:tc>
          <w:tcPr>
            <w:tcW w:w="960" w:type="dxa"/>
            <w:tcBorders>
              <w:top w:val="nil"/>
              <w:left w:val="nil"/>
              <w:bottom w:val="nil"/>
              <w:right w:val="nil"/>
            </w:tcBorders>
            <w:shd w:val="clear" w:color="000000" w:fill="D9E0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15,5%</w:t>
            </w:r>
          </w:p>
        </w:tc>
        <w:tc>
          <w:tcPr>
            <w:tcW w:w="960" w:type="dxa"/>
            <w:tcBorders>
              <w:top w:val="nil"/>
              <w:left w:val="nil"/>
              <w:bottom w:val="nil"/>
              <w:right w:val="nil"/>
            </w:tcBorders>
            <w:shd w:val="clear" w:color="000000" w:fill="FB9D75"/>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33,8%</w:t>
            </w:r>
          </w:p>
        </w:tc>
        <w:tc>
          <w:tcPr>
            <w:tcW w:w="960" w:type="dxa"/>
            <w:tcBorders>
              <w:top w:val="nil"/>
              <w:left w:val="nil"/>
              <w:bottom w:val="nil"/>
              <w:right w:val="nil"/>
            </w:tcBorders>
            <w:shd w:val="clear" w:color="000000" w:fill="F2E7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18,3%</w:t>
            </w:r>
          </w:p>
        </w:tc>
        <w:tc>
          <w:tcPr>
            <w:tcW w:w="960" w:type="dxa"/>
            <w:tcBorders>
              <w:top w:val="nil"/>
              <w:left w:val="nil"/>
              <w:bottom w:val="nil"/>
              <w:right w:val="nil"/>
            </w:tcBorders>
            <w:shd w:val="clear" w:color="000000" w:fill="FEEA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19,7%</w:t>
            </w:r>
          </w:p>
        </w:tc>
        <w:tc>
          <w:tcPr>
            <w:tcW w:w="960" w:type="dxa"/>
            <w:tcBorders>
              <w:top w:val="nil"/>
              <w:left w:val="nil"/>
              <w:bottom w:val="nil"/>
              <w:right w:val="nil"/>
            </w:tcBorders>
            <w:shd w:val="clear" w:color="000000" w:fill="C1D9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12,7%</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Suchá Lhota</w:t>
            </w:r>
          </w:p>
        </w:tc>
        <w:tc>
          <w:tcPr>
            <w:tcW w:w="960" w:type="dxa"/>
            <w:tcBorders>
              <w:top w:val="nil"/>
              <w:left w:val="nil"/>
              <w:bottom w:val="nil"/>
              <w:right w:val="nil"/>
            </w:tcBorders>
            <w:shd w:val="clear" w:color="000000" w:fill="FFE6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20,7%</w:t>
            </w:r>
          </w:p>
        </w:tc>
        <w:tc>
          <w:tcPr>
            <w:tcW w:w="960" w:type="dxa"/>
            <w:tcBorders>
              <w:top w:val="nil"/>
              <w:left w:val="nil"/>
              <w:bottom w:val="nil"/>
              <w:right w:val="nil"/>
            </w:tcBorders>
            <w:shd w:val="clear" w:color="000000" w:fill="FED3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24,1%</w:t>
            </w:r>
          </w:p>
        </w:tc>
        <w:tc>
          <w:tcPr>
            <w:tcW w:w="960" w:type="dxa"/>
            <w:tcBorders>
              <w:top w:val="nil"/>
              <w:left w:val="nil"/>
              <w:bottom w:val="nil"/>
              <w:right w:val="nil"/>
            </w:tcBorders>
            <w:shd w:val="clear" w:color="000000" w:fill="FFE6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20,7%</w:t>
            </w:r>
          </w:p>
        </w:tc>
        <w:tc>
          <w:tcPr>
            <w:tcW w:w="960" w:type="dxa"/>
            <w:tcBorders>
              <w:top w:val="nil"/>
              <w:left w:val="nil"/>
              <w:bottom w:val="nil"/>
              <w:right w:val="nil"/>
            </w:tcBorders>
            <w:shd w:val="clear" w:color="000000" w:fill="FDC0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27,6%</w:t>
            </w:r>
          </w:p>
        </w:tc>
        <w:tc>
          <w:tcPr>
            <w:tcW w:w="960" w:type="dxa"/>
            <w:tcBorders>
              <w:top w:val="nil"/>
              <w:left w:val="nil"/>
              <w:bottom w:val="nil"/>
              <w:right w:val="nil"/>
            </w:tcBorders>
            <w:shd w:val="clear" w:color="000000" w:fill="8ECA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6,9%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Tisová</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FDC1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27,4%</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A9D2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10,0%</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Trstěnice</w:t>
            </w:r>
          </w:p>
        </w:tc>
        <w:tc>
          <w:tcPr>
            <w:tcW w:w="960" w:type="dxa"/>
            <w:tcBorders>
              <w:top w:val="nil"/>
              <w:left w:val="nil"/>
              <w:bottom w:val="nil"/>
              <w:right w:val="nil"/>
            </w:tcBorders>
            <w:shd w:val="clear" w:color="000000" w:fill="FECA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25,7%</w:t>
            </w:r>
          </w:p>
        </w:tc>
        <w:tc>
          <w:tcPr>
            <w:tcW w:w="960" w:type="dxa"/>
            <w:tcBorders>
              <w:top w:val="nil"/>
              <w:left w:val="nil"/>
              <w:bottom w:val="nil"/>
              <w:right w:val="nil"/>
            </w:tcBorders>
            <w:shd w:val="clear" w:color="000000" w:fill="FDB8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28,9%</w:t>
            </w:r>
          </w:p>
        </w:tc>
        <w:tc>
          <w:tcPr>
            <w:tcW w:w="960" w:type="dxa"/>
            <w:tcBorders>
              <w:top w:val="nil"/>
              <w:left w:val="nil"/>
              <w:bottom w:val="nil"/>
              <w:right w:val="nil"/>
            </w:tcBorders>
            <w:shd w:val="clear" w:color="000000" w:fill="D5DE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15,0%</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20,9%</w:t>
            </w:r>
          </w:p>
        </w:tc>
        <w:tc>
          <w:tcPr>
            <w:tcW w:w="960" w:type="dxa"/>
            <w:tcBorders>
              <w:top w:val="nil"/>
              <w:left w:val="nil"/>
              <w:bottom w:val="nil"/>
              <w:right w:val="nil"/>
            </w:tcBorders>
            <w:shd w:val="clear" w:color="000000" w:fill="A6D1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9,6%</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Tržek</w:t>
            </w:r>
          </w:p>
        </w:tc>
        <w:tc>
          <w:tcPr>
            <w:tcW w:w="960" w:type="dxa"/>
            <w:tcBorders>
              <w:top w:val="nil"/>
              <w:left w:val="nil"/>
              <w:bottom w:val="nil"/>
              <w:right w:val="nil"/>
            </w:tcBorders>
            <w:shd w:val="clear" w:color="000000" w:fill="FCAE79"/>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30,6%</w:t>
            </w:r>
          </w:p>
        </w:tc>
        <w:tc>
          <w:tcPr>
            <w:tcW w:w="960" w:type="dxa"/>
            <w:tcBorders>
              <w:top w:val="nil"/>
              <w:left w:val="nil"/>
              <w:bottom w:val="nil"/>
              <w:right w:val="nil"/>
            </w:tcBorders>
            <w:shd w:val="clear" w:color="000000" w:fill="FFE5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21,0%</w:t>
            </w:r>
          </w:p>
        </w:tc>
        <w:tc>
          <w:tcPr>
            <w:tcW w:w="960" w:type="dxa"/>
            <w:tcBorders>
              <w:top w:val="nil"/>
              <w:left w:val="nil"/>
              <w:bottom w:val="nil"/>
              <w:right w:val="nil"/>
            </w:tcBorders>
            <w:shd w:val="clear" w:color="000000" w:fill="FBE9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19,4%</w:t>
            </w:r>
          </w:p>
        </w:tc>
        <w:tc>
          <w:tcPr>
            <w:tcW w:w="960" w:type="dxa"/>
            <w:tcBorders>
              <w:top w:val="nil"/>
              <w:left w:val="nil"/>
              <w:bottom w:val="nil"/>
              <w:right w:val="nil"/>
            </w:tcBorders>
            <w:shd w:val="clear" w:color="000000" w:fill="ED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17,7%</w:t>
            </w:r>
          </w:p>
        </w:tc>
        <w:tc>
          <w:tcPr>
            <w:tcW w:w="960" w:type="dxa"/>
            <w:tcBorders>
              <w:top w:val="nil"/>
              <w:left w:val="nil"/>
              <w:bottom w:val="nil"/>
              <w:right w:val="nil"/>
            </w:tcBorders>
            <w:shd w:val="clear" w:color="000000" w:fill="B5D5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Újezdec</w:t>
            </w:r>
          </w:p>
        </w:tc>
        <w:tc>
          <w:tcPr>
            <w:tcW w:w="960" w:type="dxa"/>
            <w:tcBorders>
              <w:top w:val="nil"/>
              <w:left w:val="nil"/>
              <w:bottom w:val="nil"/>
              <w:right w:val="nil"/>
            </w:tcBorders>
            <w:shd w:val="clear" w:color="000000" w:fill="FF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22,6%</w:t>
            </w:r>
          </w:p>
        </w:tc>
        <w:tc>
          <w:tcPr>
            <w:tcW w:w="960" w:type="dxa"/>
            <w:tcBorders>
              <w:top w:val="nil"/>
              <w:left w:val="nil"/>
              <w:bottom w:val="nil"/>
              <w:right w:val="nil"/>
            </w:tcBorders>
            <w:shd w:val="clear" w:color="000000" w:fill="FF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22,6%</w:t>
            </w:r>
          </w:p>
        </w:tc>
        <w:tc>
          <w:tcPr>
            <w:tcW w:w="960" w:type="dxa"/>
            <w:tcBorders>
              <w:top w:val="nil"/>
              <w:left w:val="nil"/>
              <w:bottom w:val="nil"/>
              <w:right w:val="nil"/>
            </w:tcBorders>
            <w:shd w:val="clear" w:color="000000" w:fill="C3D9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12,9%</w:t>
            </w:r>
          </w:p>
        </w:tc>
        <w:tc>
          <w:tcPr>
            <w:tcW w:w="960" w:type="dxa"/>
            <w:tcBorders>
              <w:top w:val="nil"/>
              <w:left w:val="nil"/>
              <w:bottom w:val="nil"/>
              <w:right w:val="nil"/>
            </w:tcBorders>
            <w:shd w:val="clear" w:color="000000" w:fill="FDB7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29,0%</w:t>
            </w:r>
          </w:p>
        </w:tc>
        <w:tc>
          <w:tcPr>
            <w:tcW w:w="960" w:type="dxa"/>
            <w:tcBorders>
              <w:top w:val="nil"/>
              <w:left w:val="nil"/>
              <w:bottom w:val="nil"/>
              <w:right w:val="nil"/>
            </w:tcBorders>
            <w:shd w:val="clear" w:color="000000" w:fill="C3D9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12,9%</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Vidlatá Seč</w:t>
            </w:r>
          </w:p>
        </w:tc>
        <w:tc>
          <w:tcPr>
            <w:tcW w:w="960" w:type="dxa"/>
            <w:tcBorders>
              <w:top w:val="nil"/>
              <w:left w:val="nil"/>
              <w:bottom w:val="nil"/>
              <w:right w:val="nil"/>
            </w:tcBorders>
            <w:shd w:val="clear" w:color="000000" w:fill="F5E8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18,7%</w:t>
            </w:r>
          </w:p>
        </w:tc>
        <w:tc>
          <w:tcPr>
            <w:tcW w:w="960" w:type="dxa"/>
            <w:tcBorders>
              <w:top w:val="nil"/>
              <w:left w:val="nil"/>
              <w:bottom w:val="nil"/>
              <w:right w:val="nil"/>
            </w:tcBorders>
            <w:shd w:val="clear" w:color="000000" w:fill="FFDF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22,0%</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17,6%</w:t>
            </w:r>
          </w:p>
        </w:tc>
        <w:tc>
          <w:tcPr>
            <w:tcW w:w="960" w:type="dxa"/>
            <w:tcBorders>
              <w:top w:val="nil"/>
              <w:left w:val="nil"/>
              <w:bottom w:val="nil"/>
              <w:right w:val="nil"/>
            </w:tcBorders>
            <w:shd w:val="clear" w:color="000000" w:fill="FDC0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27,5%</w:t>
            </w:r>
          </w:p>
        </w:tc>
        <w:tc>
          <w:tcPr>
            <w:tcW w:w="960" w:type="dxa"/>
            <w:tcBorders>
              <w:top w:val="nil"/>
              <w:left w:val="nil"/>
              <w:bottom w:val="nil"/>
              <w:right w:val="nil"/>
            </w:tcBorders>
            <w:shd w:val="clear" w:color="000000" w:fill="CF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14,3%</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Vlčkov</w:t>
            </w:r>
          </w:p>
        </w:tc>
        <w:tc>
          <w:tcPr>
            <w:tcW w:w="960" w:type="dxa"/>
            <w:tcBorders>
              <w:top w:val="nil"/>
              <w:left w:val="nil"/>
              <w:bottom w:val="nil"/>
              <w:right w:val="nil"/>
            </w:tcBorders>
            <w:shd w:val="clear" w:color="000000" w:fill="FCEA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19,4%</w:t>
            </w:r>
          </w:p>
        </w:tc>
        <w:tc>
          <w:tcPr>
            <w:tcW w:w="960" w:type="dxa"/>
            <w:tcBorders>
              <w:top w:val="nil"/>
              <w:left w:val="nil"/>
              <w:bottom w:val="nil"/>
              <w:right w:val="nil"/>
            </w:tcBorders>
            <w:shd w:val="clear" w:color="000000" w:fill="FB907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36,1%</w:t>
            </w:r>
          </w:p>
        </w:tc>
        <w:tc>
          <w:tcPr>
            <w:tcW w:w="960" w:type="dxa"/>
            <w:tcBorders>
              <w:top w:val="nil"/>
              <w:left w:val="nil"/>
              <w:bottom w:val="nil"/>
              <w:right w:val="nil"/>
            </w:tcBorders>
            <w:shd w:val="clear" w:color="000000" w:fill="E3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16,7%</w:t>
            </w:r>
          </w:p>
        </w:tc>
        <w:tc>
          <w:tcPr>
            <w:tcW w:w="960" w:type="dxa"/>
            <w:tcBorders>
              <w:top w:val="nil"/>
              <w:left w:val="nil"/>
              <w:bottom w:val="nil"/>
              <w:right w:val="nil"/>
            </w:tcBorders>
            <w:shd w:val="clear" w:color="000000" w:fill="E3E3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16,7%</w:t>
            </w:r>
          </w:p>
        </w:tc>
        <w:tc>
          <w:tcPr>
            <w:tcW w:w="960" w:type="dxa"/>
            <w:tcBorders>
              <w:top w:val="nil"/>
              <w:left w:val="nil"/>
              <w:bottom w:val="nil"/>
              <w:right w:val="nil"/>
            </w:tcBorders>
            <w:shd w:val="clear" w:color="000000" w:fill="B3D5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11,1%</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Vračovice-Orlov</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17,5%</w:t>
            </w:r>
          </w:p>
        </w:tc>
        <w:tc>
          <w:tcPr>
            <w:tcW w:w="960" w:type="dxa"/>
            <w:tcBorders>
              <w:top w:val="nil"/>
              <w:left w:val="nil"/>
              <w:bottom w:val="nil"/>
              <w:right w:val="nil"/>
            </w:tcBorders>
            <w:shd w:val="clear" w:color="000000" w:fill="FDBD7C"/>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28,1%</w:t>
            </w:r>
          </w:p>
        </w:tc>
        <w:tc>
          <w:tcPr>
            <w:tcW w:w="960" w:type="dxa"/>
            <w:tcBorders>
              <w:top w:val="nil"/>
              <w:left w:val="nil"/>
              <w:bottom w:val="nil"/>
              <w:right w:val="nil"/>
            </w:tcBorders>
            <w:shd w:val="clear" w:color="000000" w:fill="CCDC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14,0%</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17,5%</w:t>
            </w:r>
          </w:p>
        </w:tc>
        <w:tc>
          <w:tcPr>
            <w:tcW w:w="960" w:type="dxa"/>
            <w:tcBorders>
              <w:top w:val="nil"/>
              <w:left w:val="nil"/>
              <w:bottom w:val="nil"/>
              <w:right w:val="nil"/>
            </w:tcBorders>
            <w:shd w:val="clear" w:color="000000" w:fill="FFDA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22,8%</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Vysoké Mýto</w:t>
            </w:r>
          </w:p>
        </w:tc>
        <w:tc>
          <w:tcPr>
            <w:tcW w:w="960" w:type="dxa"/>
            <w:tcBorders>
              <w:top w:val="nil"/>
              <w:left w:val="nil"/>
              <w:bottom w:val="nil"/>
              <w:right w:val="nil"/>
            </w:tcBorders>
            <w:shd w:val="clear" w:color="000000" w:fill="FCB4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29,7%</w:t>
            </w:r>
          </w:p>
        </w:tc>
        <w:tc>
          <w:tcPr>
            <w:tcW w:w="960" w:type="dxa"/>
            <w:tcBorders>
              <w:top w:val="nil"/>
              <w:left w:val="nil"/>
              <w:bottom w:val="nil"/>
              <w:right w:val="nil"/>
            </w:tcBorders>
            <w:shd w:val="clear" w:color="000000" w:fill="FDB97B"/>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28,7%</w:t>
            </w:r>
          </w:p>
        </w:tc>
        <w:tc>
          <w:tcPr>
            <w:tcW w:w="960" w:type="dxa"/>
            <w:tcBorders>
              <w:top w:val="nil"/>
              <w:left w:val="nil"/>
              <w:bottom w:val="nil"/>
              <w:right w:val="nil"/>
            </w:tcBorders>
            <w:shd w:val="clear" w:color="000000" w:fill="EC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17,6%</w:t>
            </w:r>
          </w:p>
        </w:tc>
        <w:tc>
          <w:tcPr>
            <w:tcW w:w="960" w:type="dxa"/>
            <w:tcBorders>
              <w:top w:val="nil"/>
              <w:left w:val="nil"/>
              <w:bottom w:val="nil"/>
              <w:right w:val="nil"/>
            </w:tcBorders>
            <w:shd w:val="clear" w:color="000000" w:fill="EB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17,5%</w:t>
            </w:r>
          </w:p>
        </w:tc>
        <w:tc>
          <w:tcPr>
            <w:tcW w:w="960" w:type="dxa"/>
            <w:tcBorders>
              <w:top w:val="nil"/>
              <w:left w:val="nil"/>
              <w:bottom w:val="nil"/>
              <w:right w:val="nil"/>
            </w:tcBorders>
            <w:shd w:val="clear" w:color="000000" w:fill="8BC97D"/>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6,5%</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Zádolí</w:t>
            </w:r>
          </w:p>
        </w:tc>
        <w:tc>
          <w:tcPr>
            <w:tcW w:w="960" w:type="dxa"/>
            <w:tcBorders>
              <w:top w:val="nil"/>
              <w:left w:val="nil"/>
              <w:bottom w:val="nil"/>
              <w:right w:val="nil"/>
            </w:tcBorders>
            <w:shd w:val="clear" w:color="000000" w:fill="FCAA78"/>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31,4%</w:t>
            </w:r>
          </w:p>
        </w:tc>
        <w:tc>
          <w:tcPr>
            <w:tcW w:w="960" w:type="dxa"/>
            <w:tcBorders>
              <w:top w:val="nil"/>
              <w:left w:val="nil"/>
              <w:bottom w:val="nil"/>
              <w:right w:val="nil"/>
            </w:tcBorders>
            <w:shd w:val="clear" w:color="000000" w:fill="FFEA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20,0%</w:t>
            </w:r>
          </w:p>
        </w:tc>
        <w:tc>
          <w:tcPr>
            <w:tcW w:w="960" w:type="dxa"/>
            <w:tcBorders>
              <w:top w:val="nil"/>
              <w:left w:val="nil"/>
              <w:bottom w:val="nil"/>
              <w:right w:val="nil"/>
            </w:tcBorders>
            <w:shd w:val="clear" w:color="000000" w:fill="CFDD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14,3%</w:t>
            </w:r>
          </w:p>
        </w:tc>
        <w:tc>
          <w:tcPr>
            <w:tcW w:w="960" w:type="dxa"/>
            <w:tcBorders>
              <w:top w:val="nil"/>
              <w:left w:val="nil"/>
              <w:bottom w:val="nil"/>
              <w:right w:val="nil"/>
            </w:tcBorders>
            <w:shd w:val="clear" w:color="000000" w:fill="FECA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25,7%</w:t>
            </w:r>
          </w:p>
        </w:tc>
        <w:tc>
          <w:tcPr>
            <w:tcW w:w="960" w:type="dxa"/>
            <w:tcBorders>
              <w:top w:val="nil"/>
              <w:left w:val="nil"/>
              <w:bottom w:val="nil"/>
              <w:right w:val="nil"/>
            </w:tcBorders>
            <w:shd w:val="clear" w:color="000000" w:fill="9DCE7E"/>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8,6%</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t>Zálší</w:t>
            </w:r>
          </w:p>
        </w:tc>
        <w:tc>
          <w:tcPr>
            <w:tcW w:w="960" w:type="dxa"/>
            <w:tcBorders>
              <w:top w:val="nil"/>
              <w:left w:val="nil"/>
              <w:bottom w:val="nil"/>
              <w:right w:val="nil"/>
            </w:tcBorders>
            <w:shd w:val="clear" w:color="000000" w:fill="EDE5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17,7%</w:t>
            </w:r>
          </w:p>
        </w:tc>
        <w:tc>
          <w:tcPr>
            <w:tcW w:w="960" w:type="dxa"/>
            <w:tcBorders>
              <w:top w:val="nil"/>
              <w:left w:val="nil"/>
              <w:bottom w:val="nil"/>
              <w:right w:val="nil"/>
            </w:tcBorders>
            <w:shd w:val="clear" w:color="000000" w:fill="FED380"/>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24,1%</w:t>
            </w:r>
          </w:p>
        </w:tc>
        <w:tc>
          <w:tcPr>
            <w:tcW w:w="960" w:type="dxa"/>
            <w:tcBorders>
              <w:top w:val="nil"/>
              <w:left w:val="nil"/>
              <w:bottom w:val="nil"/>
              <w:right w:val="nil"/>
            </w:tcBorders>
            <w:shd w:val="clear" w:color="000000" w:fill="FFE2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21,5%</w:t>
            </w:r>
          </w:p>
        </w:tc>
        <w:tc>
          <w:tcPr>
            <w:tcW w:w="960" w:type="dxa"/>
            <w:tcBorders>
              <w:top w:val="nil"/>
              <w:left w:val="nil"/>
              <w:bottom w:val="nil"/>
              <w:right w:val="nil"/>
            </w:tcBorders>
            <w:shd w:val="clear" w:color="000000" w:fill="FFE283"/>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21,5%</w:t>
            </w:r>
          </w:p>
        </w:tc>
        <w:tc>
          <w:tcPr>
            <w:tcW w:w="960" w:type="dxa"/>
            <w:tcBorders>
              <w:top w:val="nil"/>
              <w:left w:val="nil"/>
              <w:bottom w:val="nil"/>
              <w:right w:val="nil"/>
            </w:tcBorders>
            <w:shd w:val="clear" w:color="000000" w:fill="D7DF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15,2%</w:t>
            </w:r>
          </w:p>
        </w:tc>
      </w:tr>
      <w:tr w:rsidR="00F2437D" w:rsidRPr="00F2437D" w:rsidTr="00F2437D">
        <w:trPr>
          <w:trHeight w:val="240"/>
        </w:trPr>
        <w:tc>
          <w:tcPr>
            <w:tcW w:w="2040" w:type="dxa"/>
            <w:tcBorders>
              <w:top w:val="nil"/>
              <w:left w:val="nil"/>
              <w:bottom w:val="nil"/>
              <w:right w:val="nil"/>
            </w:tcBorders>
            <w:shd w:val="clear" w:color="000000" w:fill="8DB4E3"/>
            <w:noWrap/>
            <w:hideMark/>
          </w:tcPr>
          <w:p w:rsidR="00F2437D" w:rsidRPr="00F2437D" w:rsidRDefault="00F2437D" w:rsidP="00F2437D">
            <w:pPr>
              <w:suppressAutoHyphens w:val="0"/>
              <w:spacing w:after="0"/>
              <w:jc w:val="left"/>
              <w:rPr>
                <w:rFonts w:ascii="Arial" w:hAnsi="Arial" w:cs="Arial"/>
                <w:sz w:val="18"/>
                <w:szCs w:val="18"/>
                <w:lang w:eastAsia="cs-CZ"/>
              </w:rPr>
            </w:pPr>
            <w:r w:rsidRPr="00F2437D">
              <w:rPr>
                <w:rFonts w:ascii="Arial" w:hAnsi="Arial" w:cs="Arial"/>
                <w:sz w:val="18"/>
                <w:szCs w:val="18"/>
                <w:lang w:eastAsia="cs-CZ"/>
              </w:rPr>
              <w:lastRenderedPageBreak/>
              <w:t>Zderaz</w:t>
            </w:r>
          </w:p>
        </w:tc>
        <w:tc>
          <w:tcPr>
            <w:tcW w:w="960" w:type="dxa"/>
            <w:tcBorders>
              <w:top w:val="nil"/>
              <w:left w:val="nil"/>
              <w:bottom w:val="nil"/>
              <w:right w:val="nil"/>
            </w:tcBorders>
            <w:shd w:val="clear" w:color="000000" w:fill="FFE984"/>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20,2%</w:t>
            </w:r>
          </w:p>
        </w:tc>
        <w:tc>
          <w:tcPr>
            <w:tcW w:w="960" w:type="dxa"/>
            <w:tcBorders>
              <w:top w:val="nil"/>
              <w:left w:val="nil"/>
              <w:bottom w:val="nil"/>
              <w:right w:val="nil"/>
            </w:tcBorders>
            <w:shd w:val="clear" w:color="000000" w:fill="FDB67A"/>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29,3%</w:t>
            </w:r>
          </w:p>
        </w:tc>
        <w:tc>
          <w:tcPr>
            <w:tcW w:w="960" w:type="dxa"/>
            <w:tcBorders>
              <w:top w:val="nil"/>
              <w:left w:val="nil"/>
              <w:bottom w:val="nil"/>
              <w:right w:val="nil"/>
            </w:tcBorders>
            <w:shd w:val="clear" w:color="000000" w:fill="E8E482"/>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17,2%</w:t>
            </w:r>
          </w:p>
        </w:tc>
        <w:tc>
          <w:tcPr>
            <w:tcW w:w="960" w:type="dxa"/>
            <w:tcBorders>
              <w:top w:val="nil"/>
              <w:left w:val="nil"/>
              <w:bottom w:val="nil"/>
              <w:right w:val="nil"/>
            </w:tcBorders>
            <w:shd w:val="clear" w:color="000000" w:fill="FED88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23,2%</w:t>
            </w:r>
          </w:p>
        </w:tc>
        <w:tc>
          <w:tcPr>
            <w:tcW w:w="960" w:type="dxa"/>
            <w:tcBorders>
              <w:top w:val="nil"/>
              <w:left w:val="nil"/>
              <w:bottom w:val="nil"/>
              <w:right w:val="nil"/>
            </w:tcBorders>
            <w:shd w:val="clear" w:color="000000" w:fill="AAD27F"/>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10,1%</w:t>
            </w:r>
          </w:p>
        </w:tc>
      </w:tr>
      <w:tr w:rsidR="00F2437D" w:rsidRPr="00F2437D" w:rsidTr="00F2437D">
        <w:trPr>
          <w:trHeight w:val="240"/>
        </w:trPr>
        <w:tc>
          <w:tcPr>
            <w:tcW w:w="2040" w:type="dxa"/>
            <w:tcBorders>
              <w:top w:val="nil"/>
              <w:left w:val="nil"/>
              <w:bottom w:val="nil"/>
              <w:right w:val="nil"/>
            </w:tcBorders>
            <w:shd w:val="clear" w:color="000000" w:fill="17375D"/>
            <w:noWrap/>
            <w:hideMark/>
          </w:tcPr>
          <w:p w:rsidR="00F2437D" w:rsidRPr="00F2437D" w:rsidRDefault="00F2437D" w:rsidP="00F2437D">
            <w:pPr>
              <w:suppressAutoHyphens w:val="0"/>
              <w:spacing w:after="0"/>
              <w:jc w:val="left"/>
              <w:rPr>
                <w:rFonts w:ascii="Arial" w:hAnsi="Arial" w:cs="Arial"/>
                <w:b/>
                <w:bCs/>
                <w:color w:val="FFFFFF"/>
                <w:sz w:val="18"/>
                <w:szCs w:val="18"/>
                <w:lang w:eastAsia="cs-CZ"/>
              </w:rPr>
            </w:pPr>
            <w:r w:rsidRPr="00F2437D">
              <w:rPr>
                <w:rFonts w:ascii="Arial" w:hAnsi="Arial" w:cs="Arial"/>
                <w:b/>
                <w:bCs/>
                <w:color w:val="FFFFFF"/>
                <w:sz w:val="18"/>
                <w:szCs w:val="18"/>
                <w:lang w:eastAsia="cs-CZ"/>
              </w:rPr>
              <w:t>Průměr</w:t>
            </w:r>
          </w:p>
        </w:tc>
        <w:tc>
          <w:tcPr>
            <w:tcW w:w="960" w:type="dxa"/>
            <w:tcBorders>
              <w:top w:val="nil"/>
              <w:left w:val="nil"/>
              <w:bottom w:val="nil"/>
              <w:right w:val="nil"/>
            </w:tcBorders>
            <w:shd w:val="clear" w:color="000000" w:fill="37609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23,2%</w:t>
            </w:r>
          </w:p>
        </w:tc>
        <w:tc>
          <w:tcPr>
            <w:tcW w:w="960" w:type="dxa"/>
            <w:tcBorders>
              <w:top w:val="nil"/>
              <w:left w:val="nil"/>
              <w:bottom w:val="nil"/>
              <w:right w:val="nil"/>
            </w:tcBorders>
            <w:shd w:val="clear" w:color="000000" w:fill="37609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27,0%</w:t>
            </w:r>
          </w:p>
        </w:tc>
        <w:tc>
          <w:tcPr>
            <w:tcW w:w="960" w:type="dxa"/>
            <w:tcBorders>
              <w:top w:val="nil"/>
              <w:left w:val="nil"/>
              <w:bottom w:val="nil"/>
              <w:right w:val="nil"/>
            </w:tcBorders>
            <w:shd w:val="clear" w:color="000000" w:fill="37609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16,4%</w:t>
            </w:r>
          </w:p>
        </w:tc>
        <w:tc>
          <w:tcPr>
            <w:tcW w:w="960" w:type="dxa"/>
            <w:tcBorders>
              <w:top w:val="nil"/>
              <w:left w:val="nil"/>
              <w:bottom w:val="nil"/>
              <w:right w:val="nil"/>
            </w:tcBorders>
            <w:shd w:val="clear" w:color="000000" w:fill="37609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20,1%</w:t>
            </w:r>
          </w:p>
        </w:tc>
        <w:tc>
          <w:tcPr>
            <w:tcW w:w="960" w:type="dxa"/>
            <w:tcBorders>
              <w:top w:val="nil"/>
              <w:left w:val="nil"/>
              <w:bottom w:val="nil"/>
              <w:right w:val="nil"/>
            </w:tcBorders>
            <w:shd w:val="clear" w:color="000000" w:fill="376091"/>
            <w:noWrap/>
            <w:vAlign w:val="bottom"/>
            <w:hideMark/>
          </w:tcPr>
          <w:p w:rsidR="00F2437D" w:rsidRPr="00F2437D" w:rsidRDefault="00F2437D" w:rsidP="00F2437D">
            <w:pPr>
              <w:suppressAutoHyphens w:val="0"/>
              <w:spacing w:after="0"/>
              <w:jc w:val="right"/>
              <w:rPr>
                <w:rFonts w:ascii="Calibri" w:hAnsi="Calibri" w:cs="Calibri"/>
                <w:color w:val="000000"/>
                <w:sz w:val="18"/>
                <w:szCs w:val="18"/>
                <w:lang w:eastAsia="cs-CZ"/>
              </w:rPr>
            </w:pPr>
            <w:r w:rsidRPr="00F2437D">
              <w:rPr>
                <w:rFonts w:ascii="Calibri" w:hAnsi="Calibri" w:cs="Calibri"/>
                <w:color w:val="000000"/>
                <w:sz w:val="18"/>
                <w:szCs w:val="18"/>
                <w:lang w:eastAsia="cs-CZ"/>
              </w:rPr>
              <w:t>13,3%</w:t>
            </w:r>
          </w:p>
        </w:tc>
      </w:tr>
    </w:tbl>
    <w:p w:rsidR="00F2437D" w:rsidRDefault="00582A0F" w:rsidP="00951885">
      <w:r>
        <w:t>Zdroj: ČSÚ</w:t>
      </w:r>
    </w:p>
    <w:p w:rsidR="00B14384" w:rsidRDefault="00B14384" w:rsidP="00951885">
      <w:r>
        <w:t>Problémem může být také stáří obydlených domů, které průměrně dosahuje úrovně 49,2 let. Přitom rozpětí jednotlivých obcí je od 38,2 let do 69,8 let. Zpravidla lze říci, že jsou zejména menší obce, které se potýkají s problémem udržení mladých lidí, absencí nové výstavby apod.</w:t>
      </w:r>
    </w:p>
    <w:p w:rsidR="0050130D" w:rsidRDefault="0050130D" w:rsidP="00104B0F">
      <w:pPr>
        <w:pStyle w:val="Nadpis5"/>
      </w:pPr>
      <w:r>
        <w:t xml:space="preserve">Shrnutí informací o </w:t>
      </w:r>
      <w:r w:rsidR="00CE436C">
        <w:t xml:space="preserve">způsobech </w:t>
      </w:r>
      <w:r>
        <w:t>bydlení</w:t>
      </w:r>
    </w:p>
    <w:tbl>
      <w:tblPr>
        <w:tblStyle w:val="Mkatabulky"/>
        <w:tblW w:w="0" w:type="auto"/>
        <w:tblLook w:val="04A0"/>
      </w:tblPr>
      <w:tblGrid>
        <w:gridCol w:w="4606"/>
        <w:gridCol w:w="4606"/>
      </w:tblGrid>
      <w:tr w:rsidR="0050130D" w:rsidTr="002D6B2C">
        <w:trPr>
          <w:cantSplit/>
        </w:trPr>
        <w:tc>
          <w:tcPr>
            <w:tcW w:w="4606" w:type="dxa"/>
            <w:shd w:val="clear" w:color="auto" w:fill="D6E3BC" w:themeFill="accent3" w:themeFillTint="66"/>
          </w:tcPr>
          <w:p w:rsidR="0050130D" w:rsidRPr="000F7E1C" w:rsidRDefault="0050130D" w:rsidP="002D6B2C">
            <w:pPr>
              <w:rPr>
                <w:b/>
              </w:rPr>
            </w:pPr>
            <w:r w:rsidRPr="000F7E1C">
              <w:rPr>
                <w:b/>
              </w:rPr>
              <w:t>S „Silné stránky“</w:t>
            </w:r>
          </w:p>
        </w:tc>
        <w:tc>
          <w:tcPr>
            <w:tcW w:w="4606" w:type="dxa"/>
            <w:shd w:val="clear" w:color="auto" w:fill="FBD4B4" w:themeFill="accent6" w:themeFillTint="66"/>
          </w:tcPr>
          <w:p w:rsidR="0050130D" w:rsidRPr="000F7E1C" w:rsidRDefault="0050130D" w:rsidP="002D6B2C">
            <w:pPr>
              <w:rPr>
                <w:b/>
              </w:rPr>
            </w:pPr>
            <w:r w:rsidRPr="000F7E1C">
              <w:rPr>
                <w:b/>
              </w:rPr>
              <w:t>W „Slabé stránky“</w:t>
            </w:r>
          </w:p>
        </w:tc>
      </w:tr>
      <w:tr w:rsidR="0050130D" w:rsidTr="002D6B2C">
        <w:trPr>
          <w:cantSplit/>
          <w:trHeight w:val="2309"/>
        </w:trPr>
        <w:tc>
          <w:tcPr>
            <w:tcW w:w="4606" w:type="dxa"/>
            <w:shd w:val="clear" w:color="auto" w:fill="EAF1DD" w:themeFill="accent3" w:themeFillTint="33"/>
          </w:tcPr>
          <w:p w:rsidR="0050130D" w:rsidRDefault="00B14384" w:rsidP="00A60AC9">
            <w:pPr>
              <w:pStyle w:val="Odstavecseseznamem"/>
              <w:numPr>
                <w:ilvl w:val="0"/>
                <w:numId w:val="26"/>
              </w:numPr>
            </w:pPr>
            <w:r>
              <w:t>Zainteresovanost obcí.</w:t>
            </w:r>
          </w:p>
        </w:tc>
        <w:tc>
          <w:tcPr>
            <w:tcW w:w="4606" w:type="dxa"/>
            <w:shd w:val="clear" w:color="auto" w:fill="FDE9D9" w:themeFill="accent6" w:themeFillTint="33"/>
          </w:tcPr>
          <w:p w:rsidR="00B14384" w:rsidRDefault="00B14384" w:rsidP="00A60AC9">
            <w:pPr>
              <w:pStyle w:val="Odstavecseseznamem"/>
              <w:numPr>
                <w:ilvl w:val="0"/>
                <w:numId w:val="26"/>
              </w:numPr>
            </w:pPr>
            <w:r>
              <w:t>Odliv mladých lidí z některých obcí.</w:t>
            </w:r>
          </w:p>
        </w:tc>
      </w:tr>
      <w:tr w:rsidR="0050130D" w:rsidTr="002D6B2C">
        <w:trPr>
          <w:cantSplit/>
        </w:trPr>
        <w:tc>
          <w:tcPr>
            <w:tcW w:w="4606" w:type="dxa"/>
            <w:shd w:val="clear" w:color="auto" w:fill="B8CCE4" w:themeFill="accent1" w:themeFillTint="66"/>
          </w:tcPr>
          <w:p w:rsidR="0050130D" w:rsidRPr="000F7E1C" w:rsidRDefault="0050130D" w:rsidP="002D6B2C">
            <w:pPr>
              <w:rPr>
                <w:b/>
              </w:rPr>
            </w:pPr>
            <w:r w:rsidRPr="000F7E1C">
              <w:rPr>
                <w:b/>
              </w:rPr>
              <w:t>O „Příležitosti“</w:t>
            </w:r>
          </w:p>
        </w:tc>
        <w:tc>
          <w:tcPr>
            <w:tcW w:w="4606" w:type="dxa"/>
            <w:shd w:val="clear" w:color="auto" w:fill="E5B8B7" w:themeFill="accent2" w:themeFillTint="66"/>
          </w:tcPr>
          <w:p w:rsidR="0050130D" w:rsidRPr="000F7E1C" w:rsidRDefault="0050130D" w:rsidP="002D6B2C">
            <w:pPr>
              <w:rPr>
                <w:b/>
              </w:rPr>
            </w:pPr>
            <w:r w:rsidRPr="000F7E1C">
              <w:rPr>
                <w:b/>
              </w:rPr>
              <w:t>T „Hrozby“</w:t>
            </w:r>
          </w:p>
        </w:tc>
      </w:tr>
      <w:tr w:rsidR="0050130D" w:rsidTr="002D6B2C">
        <w:trPr>
          <w:cantSplit/>
          <w:trHeight w:val="2829"/>
        </w:trPr>
        <w:tc>
          <w:tcPr>
            <w:tcW w:w="4606" w:type="dxa"/>
            <w:shd w:val="clear" w:color="auto" w:fill="DBE5F1" w:themeFill="accent1" w:themeFillTint="33"/>
          </w:tcPr>
          <w:p w:rsidR="0050130D" w:rsidRDefault="00B14384" w:rsidP="00A60AC9">
            <w:pPr>
              <w:pStyle w:val="Odstavecseseznamem"/>
              <w:numPr>
                <w:ilvl w:val="0"/>
                <w:numId w:val="27"/>
              </w:numPr>
            </w:pPr>
            <w:r>
              <w:t>Sociální bydlení.</w:t>
            </w:r>
          </w:p>
          <w:p w:rsidR="00B14384" w:rsidRDefault="00B14384" w:rsidP="00580DAC">
            <w:pPr>
              <w:pStyle w:val="Odstavecseseznamem"/>
              <w:ind w:left="720"/>
            </w:pPr>
          </w:p>
        </w:tc>
        <w:tc>
          <w:tcPr>
            <w:tcW w:w="4606" w:type="dxa"/>
            <w:shd w:val="clear" w:color="auto" w:fill="F2DBDB" w:themeFill="accent2" w:themeFillTint="33"/>
          </w:tcPr>
          <w:p w:rsidR="00B14384" w:rsidRDefault="00B14384" w:rsidP="00A60AC9">
            <w:pPr>
              <w:pStyle w:val="Odstavecseseznamem"/>
              <w:numPr>
                <w:ilvl w:val="0"/>
                <w:numId w:val="26"/>
              </w:numPr>
            </w:pPr>
            <w:r>
              <w:t>Stáří některých domů.</w:t>
            </w:r>
          </w:p>
          <w:p w:rsidR="00B14384" w:rsidRDefault="00AF76E4" w:rsidP="00A60AC9">
            <w:pPr>
              <w:pStyle w:val="Odstavecseseznamem"/>
              <w:numPr>
                <w:ilvl w:val="0"/>
                <w:numId w:val="26"/>
              </w:numPr>
            </w:pPr>
            <w:r>
              <w:t>Klesající soběstačnost j</w:t>
            </w:r>
            <w:r w:rsidR="00B14384">
              <w:t>edno až dvoučlenné domácnosti seniorů.</w:t>
            </w:r>
          </w:p>
          <w:p w:rsidR="0050130D" w:rsidRDefault="0050130D" w:rsidP="00B14384">
            <w:pPr>
              <w:ind w:left="360"/>
            </w:pPr>
          </w:p>
        </w:tc>
      </w:tr>
    </w:tbl>
    <w:p w:rsidR="00B14384" w:rsidRDefault="00B14384" w:rsidP="00B14384">
      <w:pPr>
        <w:pStyle w:val="Odstavecseseznamem"/>
        <w:ind w:left="720"/>
      </w:pPr>
    </w:p>
    <w:p w:rsidR="00B14384" w:rsidRDefault="00B14384" w:rsidP="00A60AC9">
      <w:pPr>
        <w:pStyle w:val="Odstavecseseznamem"/>
        <w:numPr>
          <w:ilvl w:val="0"/>
          <w:numId w:val="26"/>
        </w:numPr>
      </w:pPr>
      <w:r>
        <w:t>Častá situace, kdy málo početné a domácnosti nestačí na údržbu domů (často dříve narození) má několik rovin. Tyto skupiny obyvate</w:t>
      </w:r>
      <w:r w:rsidR="00580DAC">
        <w:t>l</w:t>
      </w:r>
      <w:r>
        <w:t xml:space="preserve"> zpravidla nechtějí opouštět svá bydliště</w:t>
      </w:r>
      <w:r w:rsidR="00580DAC">
        <w:t xml:space="preserve"> a v tomto případě přicházejí na řadu sociální služby. Početně nižší je skupina seniorů, kteří by rádi využili sociálního bydlení, nebo domovů pro seniory. Zde by bylo vhodné dotační podpoření výstavby sociálních bytů nebo </w:t>
      </w:r>
      <w:r w:rsidR="008A5FAB">
        <w:t>malometrážních bytů, které by byly případně doplněny o poskytování určitých sociálních služeb</w:t>
      </w:r>
      <w:r w:rsidR="00580DAC">
        <w:t>.</w:t>
      </w:r>
    </w:p>
    <w:p w:rsidR="00580DAC" w:rsidRDefault="00580DAC" w:rsidP="00A60AC9">
      <w:pPr>
        <w:pStyle w:val="Odstavecseseznamem"/>
        <w:numPr>
          <w:ilvl w:val="0"/>
          <w:numId w:val="26"/>
        </w:numPr>
      </w:pPr>
      <w:r>
        <w:lastRenderedPageBreak/>
        <w:t>Odliv mladých lidí do měst je ovlivnitelný kvalitní občanskou vybaveností a technickou infrastrukturou obcí. Závislost na pracovních příležitostech je ovlivnitelná jen v malé míře.</w:t>
      </w:r>
    </w:p>
    <w:p w:rsidR="00120802" w:rsidRDefault="00120802" w:rsidP="000F7E1C">
      <w:pPr>
        <w:pStyle w:val="Nadpis4"/>
      </w:pPr>
      <w:r w:rsidRPr="000F7E1C">
        <w:t>Životní prostředí</w:t>
      </w:r>
    </w:p>
    <w:p w:rsidR="000669A3" w:rsidRDefault="000669A3" w:rsidP="00696F2C">
      <w:r>
        <w:t>Obecně lze říci, že díky venkovskému charakteru většiny území a tím i absenci výrazně znečišťujících aktérů, je životní prostředí v regionu v dobrém stavu.</w:t>
      </w:r>
    </w:p>
    <w:p w:rsidR="00696F2C" w:rsidRPr="00696F2C" w:rsidRDefault="00696F2C" w:rsidP="00696F2C">
      <w:r>
        <w:t>Pohled regionálních aktérů na stav životní prostředí je převážně pozitivní. Ovšem i zde existují nemalé prostory ke zlepšení.</w:t>
      </w:r>
    </w:p>
    <w:p w:rsidR="00951885" w:rsidRDefault="00951885" w:rsidP="00951885">
      <w:r w:rsidRPr="00951885">
        <w:rPr>
          <w:noProof/>
          <w:lang w:eastAsia="cs-CZ"/>
        </w:rPr>
        <w:drawing>
          <wp:inline distT="0" distB="0" distL="0" distR="0">
            <wp:extent cx="2819400" cy="1962150"/>
            <wp:effectExtent l="19050" t="0" r="19050" b="0"/>
            <wp:docPr id="32"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96F2C" w:rsidRPr="00696F2C">
        <w:rPr>
          <w:noProof/>
          <w:lang w:eastAsia="cs-CZ"/>
        </w:rPr>
        <w:drawing>
          <wp:inline distT="0" distB="0" distL="0" distR="0">
            <wp:extent cx="2819400" cy="1962150"/>
            <wp:effectExtent l="19050" t="0" r="19050" b="0"/>
            <wp:docPr id="13"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55F3" w:rsidRDefault="003855F3" w:rsidP="00951885">
      <w:r>
        <w:t xml:space="preserve">Pohled </w:t>
      </w:r>
      <w:r w:rsidR="00696F2C">
        <w:t xml:space="preserve">starostů vlevo, </w:t>
      </w:r>
      <w:r>
        <w:t>občanů</w:t>
      </w:r>
      <w:r w:rsidR="00696F2C">
        <w:t xml:space="preserve"> vpravo</w:t>
      </w:r>
    </w:p>
    <w:p w:rsidR="00382E7B" w:rsidRDefault="00382E7B" w:rsidP="00382E7B">
      <w:pPr>
        <w:pStyle w:val="Nadpis5"/>
      </w:pPr>
      <w:r>
        <w:t>Ovzduší</w:t>
      </w:r>
    </w:p>
    <w:p w:rsidR="00382E7B" w:rsidRDefault="00382E7B" w:rsidP="00382E7B">
      <w:r>
        <w:t>V regionu nejsou zpravidla větší potíže s čistotou ovzduší díky absenci velkých průmyslových znečišťovatelů.</w:t>
      </w:r>
    </w:p>
    <w:p w:rsidR="00382E7B" w:rsidRDefault="00382E7B" w:rsidP="00382E7B">
      <w:r>
        <w:t>Největšími původci znečištění ovzduší tak jsou lokální zdroje tepla v rodinných domech spalující pevná paliva a automobilová doprava (zejména na frekventované R35, přidružené významnější komunikace a dopravní uzly – zejména Litomyšl)</w:t>
      </w:r>
      <w:r w:rsidR="00BB73FA">
        <w:t>.</w:t>
      </w:r>
    </w:p>
    <w:p w:rsidR="00BB73FA" w:rsidRDefault="00BB73FA" w:rsidP="00382E7B">
      <w:r>
        <w:t xml:space="preserve">Přesto, že v tomto ohledu nejsou v regionu významnější problémy, zmíníme aktivity společnosti </w:t>
      </w:r>
      <w:r>
        <w:rPr>
          <w:color w:val="000000"/>
          <w:lang w:eastAsia="cs-CZ"/>
        </w:rPr>
        <w:t>SAINT-GOBAIN ADFORS CZ s.r.o., která vlivem své produkce vypouští do ovzduší oxidy dusíku, síry... a aktiv</w:t>
      </w:r>
      <w:r w:rsidR="00592D77">
        <w:rPr>
          <w:color w:val="000000"/>
          <w:lang w:eastAsia="cs-CZ"/>
        </w:rPr>
        <w:t>ity zemědělských subjektů, které</w:t>
      </w:r>
      <w:r>
        <w:rPr>
          <w:color w:val="000000"/>
          <w:lang w:eastAsia="cs-CZ"/>
        </w:rPr>
        <w:t xml:space="preserve"> vlivem živočišné výroby produkují organické plyny (zejména metan a čpavek).</w:t>
      </w:r>
      <w:r w:rsidR="00592D77">
        <w:rPr>
          <w:color w:val="000000"/>
          <w:lang w:eastAsia="cs-CZ"/>
        </w:rPr>
        <w:t xml:space="preserve"> Tito producenti dosud řešili tuto otázku individuálními měřeními a projekty.</w:t>
      </w:r>
    </w:p>
    <w:p w:rsidR="00382E7B" w:rsidRPr="000F7E1C" w:rsidRDefault="00382E7B" w:rsidP="00382E7B">
      <w:pPr>
        <w:pStyle w:val="Nadpis5"/>
      </w:pPr>
      <w:r>
        <w:lastRenderedPageBreak/>
        <w:t>Vody</w:t>
      </w:r>
    </w:p>
    <w:p w:rsidR="00382E7B" w:rsidRPr="007627A2" w:rsidRDefault="00382E7B" w:rsidP="00382E7B">
      <w:pPr>
        <w:rPr>
          <w:b/>
        </w:rPr>
      </w:pPr>
      <w:r w:rsidRPr="007627A2">
        <w:rPr>
          <w:b/>
        </w:rPr>
        <w:t>Čistota pitné vody</w:t>
      </w:r>
    </w:p>
    <w:p w:rsidR="00382E7B" w:rsidRPr="00CF04EE" w:rsidRDefault="00382E7B" w:rsidP="00382E7B">
      <w:r>
        <w:t xml:space="preserve">Zdroje pitné vody v regionu jsou vyhovující. Co se týče distribuční infrastrukturu, </w:t>
      </w:r>
      <w:r w:rsidR="005F0C5B">
        <w:t>ta je blíže popsána v kapitole 2.1.2 Technická infrastruktura.</w:t>
      </w:r>
    </w:p>
    <w:p w:rsidR="00382E7B" w:rsidRDefault="00382E7B" w:rsidP="00382E7B">
      <w:pPr>
        <w:rPr>
          <w:b/>
        </w:rPr>
      </w:pPr>
      <w:r w:rsidRPr="007627A2">
        <w:rPr>
          <w:b/>
        </w:rPr>
        <w:t xml:space="preserve">Čistota </w:t>
      </w:r>
      <w:r w:rsidR="00BB73FA">
        <w:rPr>
          <w:b/>
        </w:rPr>
        <w:t xml:space="preserve">a čištění </w:t>
      </w:r>
      <w:r w:rsidRPr="007627A2">
        <w:rPr>
          <w:b/>
        </w:rPr>
        <w:t>po</w:t>
      </w:r>
      <w:r w:rsidR="005F0C5B">
        <w:rPr>
          <w:b/>
        </w:rPr>
        <w:t>vrchových vod</w:t>
      </w:r>
    </w:p>
    <w:p w:rsidR="005F0C5B" w:rsidRDefault="005F0C5B" w:rsidP="00382E7B">
      <w:r w:rsidRPr="005F0C5B">
        <w:t>Čistota povrchových vod</w:t>
      </w:r>
      <w:r>
        <w:t xml:space="preserve"> není negativně ovlivňována průmyslovými znečišťovateli.</w:t>
      </w:r>
      <w:r w:rsidR="00BB73FA">
        <w:t xml:space="preserve"> Rovněž činnost zemědělských subjektů se běhen dvou desítek let radikálně změnila (radikální snížení chemického hnojení a přechod k biologicky odbouratelným ošetřujícím přípravkům pro rostlinnou výrobu).</w:t>
      </w:r>
      <w:r>
        <w:t xml:space="preserve"> Zbývá tak vyřešit znečištění ze strany domovních odpadů, kde ve většině případů chybí napojení na kanalizaci a čističky odpadních vod a vlastníci jsou tak sami povinni zajistit ekologickou likvidaci (více v kapitole 2.1.2 Technická infrastruktura).</w:t>
      </w:r>
    </w:p>
    <w:p w:rsidR="00BB73FA" w:rsidRPr="005F0C5B" w:rsidRDefault="00BB73FA" w:rsidP="00382E7B">
      <w:r>
        <w:t>V některých obcích se vyskytují malé vodní toky nebo rybníky zatížené větším množstvím biologického materiálu</w:t>
      </w:r>
      <w:r w:rsidR="00592D77">
        <w:t xml:space="preserve"> (zejména rostlinné zbytky)</w:t>
      </w:r>
      <w:r>
        <w:t>.</w:t>
      </w:r>
    </w:p>
    <w:p w:rsidR="00382E7B" w:rsidRPr="000F7E1C" w:rsidRDefault="00382E7B" w:rsidP="00382E7B">
      <w:pPr>
        <w:pStyle w:val="Nadpis5"/>
      </w:pPr>
      <w:r>
        <w:t>Půda</w:t>
      </w:r>
    </w:p>
    <w:p w:rsidR="00382E7B" w:rsidRDefault="008B193F" w:rsidP="00382E7B">
      <w:r w:rsidRPr="008B193F">
        <w:t xml:space="preserve">V regionu je riziko eroze některých druhů půdy. </w:t>
      </w:r>
      <w:r>
        <w:t>Tato problematika však je záležitostí majitelů pozemků a subjektů, které na nich hospodaří. Jde zejména o pěstování vhodných plodin a péči o vhodné biologické prvky v krajině (viz 2.1.11 Zemědělství potravinářství a lesnictví).</w:t>
      </w:r>
    </w:p>
    <w:p w:rsidR="008B193F" w:rsidRPr="008B193F" w:rsidRDefault="008B193F" w:rsidP="00382E7B">
      <w:r>
        <w:t>V regionu se r</w:t>
      </w:r>
      <w:r w:rsidR="00AC5E41">
        <w:t>ovněž zřídka vyskytuje problém s</w:t>
      </w:r>
      <w:r>
        <w:t xml:space="preserve"> uloženým odpadem (viz 2.1.5.4. Odpadové hospodářství).</w:t>
      </w:r>
    </w:p>
    <w:p w:rsidR="00382E7B" w:rsidRDefault="00382E7B" w:rsidP="00382E7B">
      <w:pPr>
        <w:pStyle w:val="Nadpis5"/>
      </w:pPr>
      <w:r>
        <w:t>Zadržování vody v krajině</w:t>
      </w:r>
      <w:r w:rsidR="00592D77">
        <w:t xml:space="preserve"> a protipovodňová opatření</w:t>
      </w:r>
    </w:p>
    <w:p w:rsidR="00592D77" w:rsidRDefault="00592D77" w:rsidP="00592D77">
      <w:r>
        <w:t>Se zadržováním vody v krajině nejsou zpravidla na většině území regionu větší potíže. Jisté riziko povodní představuje řeka Loučná, kter</w:t>
      </w:r>
      <w:r w:rsidR="00161340">
        <w:t>á ojediněle vystoupá na druhý povodňový stupe</w:t>
      </w:r>
      <w:r w:rsidR="00F16836">
        <w:t>ň</w:t>
      </w:r>
      <w:r w:rsidR="00161340">
        <w:t xml:space="preserve">. V rámci mikroregionu Vysokomýtsko tak dotčené obce plánují protipovodňová opatření. </w:t>
      </w:r>
    </w:p>
    <w:p w:rsidR="00161340" w:rsidRDefault="00161340" w:rsidP="00592D77">
      <w:r>
        <w:t>Tento problém je však nutné řešit i nad rámec mikroregionu Vysokomýtsko také s dalšími dotčenými obcemi, aby byla řešena celková koncepce opatření. V opačném případě by učiněná opatření mohla mít za následek mnohem vyšší škody v obcích bez opatření, kde by se projevily kumulované důsledky případné povodně i za obce, které opatření učinily.</w:t>
      </w:r>
    </w:p>
    <w:p w:rsidR="00161340" w:rsidRPr="00592D77" w:rsidRDefault="00161340" w:rsidP="00592D77">
      <w:r>
        <w:lastRenderedPageBreak/>
        <w:t>Stálá protipovodňová opatření jsou ale komplikována složitými vlastnickými poměry vzhledem k dotčeným pozemkům.</w:t>
      </w:r>
    </w:p>
    <w:p w:rsidR="00382E7B" w:rsidRDefault="00382E7B" w:rsidP="00382E7B">
      <w:pPr>
        <w:pStyle w:val="Nadpis5"/>
      </w:pPr>
      <w:r>
        <w:t>Zeleň v krajině a sídlech</w:t>
      </w:r>
    </w:p>
    <w:p w:rsidR="00382E7B" w:rsidRDefault="00161340" w:rsidP="008F452E">
      <w:r>
        <w:t xml:space="preserve">Zeleň v krajině je tvořena lesy a krajinnými prvky mimo lesy (viz 2.1.11 Zemědělství, potravinářství a lesnictví). Situace v intravilánech obcí je popsána v kapitole </w:t>
      </w:r>
      <w:r w:rsidR="008F452E">
        <w:t>2.1.2.1.3 Veřejná prostranství a komunikace v obcích</w:t>
      </w:r>
      <w:r>
        <w:t>.</w:t>
      </w:r>
    </w:p>
    <w:p w:rsidR="008F452E" w:rsidRDefault="008F452E" w:rsidP="008F452E">
      <w:r>
        <w:t>Obecně platí, že množství i úroveň zeleně se snaží jak vlastníci pozemků, tak obce intenzivně zvyšovat.</w:t>
      </w:r>
    </w:p>
    <w:p w:rsidR="003855F3" w:rsidRDefault="00382E7B" w:rsidP="00382E7B">
      <w:pPr>
        <w:pStyle w:val="Nadpis5"/>
      </w:pPr>
      <w:r>
        <w:t>Ostatní</w:t>
      </w:r>
    </w:p>
    <w:p w:rsidR="008F452E" w:rsidRPr="008F452E" w:rsidRDefault="008F452E" w:rsidP="008F452E">
      <w:r>
        <w:t>Níže uvedená tabulka upozorňuje na některá rizika týkající se území působnosti MAS, které je tvořeno převážně správními obvody ORP Litomyšl a Vysoké Mýto.</w:t>
      </w:r>
    </w:p>
    <w:p w:rsidR="002A2115" w:rsidRDefault="002A2115" w:rsidP="00951885">
      <w:r>
        <w:rPr>
          <w:noProof/>
          <w:lang w:eastAsia="cs-CZ"/>
        </w:rPr>
        <w:drawing>
          <wp:inline distT="0" distB="0" distL="0" distR="0">
            <wp:extent cx="5760720" cy="1334378"/>
            <wp:effectExtent l="19050" t="0" r="0" b="0"/>
            <wp:docPr id="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760720" cy="1334378"/>
                    </a:xfrm>
                    <a:prstGeom prst="rect">
                      <a:avLst/>
                    </a:prstGeom>
                    <a:noFill/>
                    <a:ln w="9525">
                      <a:noFill/>
                      <a:miter lim="800000"/>
                      <a:headEnd/>
                      <a:tailEnd/>
                    </a:ln>
                  </pic:spPr>
                </pic:pic>
              </a:graphicData>
            </a:graphic>
          </wp:inline>
        </w:drawing>
      </w:r>
      <w:r>
        <w:t xml:space="preserve">Zdroj: Příloha č. 6 IROP </w:t>
      </w:r>
      <w:r w:rsidRPr="002A2115">
        <w:t>ÚZEMÍ VYMEZENÉ PRO SPECIFICKÝ CÍL 1.3</w:t>
      </w:r>
      <w:r>
        <w:t xml:space="preserve"> (</w:t>
      </w:r>
      <w:hyperlink r:id="rId43" w:history="1">
        <w:r w:rsidR="00382E7B" w:rsidRPr="0008673C">
          <w:rPr>
            <w:rStyle w:val="Hypertextovodkaz"/>
          </w:rPr>
          <w:t>http://www.strukturalni-fondy.cz/cs/Microsites/IROP/Dokumenty/prilohy-PD_15-7-2014.zip</w:t>
        </w:r>
      </w:hyperlink>
      <w:r>
        <w:t>)</w:t>
      </w:r>
    </w:p>
    <w:p w:rsidR="00382E7B" w:rsidRDefault="00382E7B" w:rsidP="00382E7B">
      <w:pPr>
        <w:pStyle w:val="Nadpis5"/>
      </w:pPr>
      <w:r>
        <w:t>Chráněné přírodní prvky</w:t>
      </w:r>
    </w:p>
    <w:p w:rsidR="004E5862" w:rsidRPr="004E5862" w:rsidRDefault="004E5862" w:rsidP="004E5862"/>
    <w:p w:rsidR="004E5862" w:rsidRPr="004E5862" w:rsidRDefault="004E5862" w:rsidP="004E5862">
      <w:r>
        <w:rPr>
          <w:noProof/>
          <w:lang w:eastAsia="cs-CZ"/>
        </w:rPr>
        <w:lastRenderedPageBreak/>
        <w:drawing>
          <wp:inline distT="0" distB="0" distL="0" distR="0">
            <wp:extent cx="5760720" cy="4074896"/>
            <wp:effectExtent l="19050" t="0" r="0" b="0"/>
            <wp:docPr id="50" name="obrázek 3" descr="C:\Users\lenovo\Documents\MAS\ISRÚ_SCLLD\AOPK\mapka_uprav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MAS\ISRÚ_SCLLD\AOPK\mapka_upravena.png"/>
                    <pic:cNvPicPr>
                      <a:picLocks noChangeAspect="1" noChangeArrowheads="1"/>
                    </pic:cNvPicPr>
                  </pic:nvPicPr>
                  <pic:blipFill>
                    <a:blip r:embed="rId44" cstate="print"/>
                    <a:srcRect/>
                    <a:stretch>
                      <a:fillRect/>
                    </a:stretch>
                  </pic:blipFill>
                  <pic:spPr bwMode="auto">
                    <a:xfrm>
                      <a:off x="0" y="0"/>
                      <a:ext cx="5760720" cy="4074896"/>
                    </a:xfrm>
                    <a:prstGeom prst="rect">
                      <a:avLst/>
                    </a:prstGeom>
                    <a:noFill/>
                    <a:ln w="9525">
                      <a:noFill/>
                      <a:miter lim="800000"/>
                      <a:headEnd/>
                      <a:tailEnd/>
                    </a:ln>
                  </pic:spPr>
                </pic:pic>
              </a:graphicData>
            </a:graphic>
          </wp:inline>
        </w:drawing>
      </w:r>
    </w:p>
    <w:p w:rsidR="00625E32" w:rsidRDefault="00625E32" w:rsidP="007E342E">
      <w:pPr>
        <w:autoSpaceDE w:val="0"/>
        <w:rPr>
          <w:rFonts w:eastAsia="TimesNewRomanPSMT" w:cs="TimesNewRomanPSMT"/>
        </w:rPr>
      </w:pPr>
    </w:p>
    <w:p w:rsidR="00382E7B" w:rsidRDefault="00232E32" w:rsidP="00B05856">
      <w:r>
        <w:t xml:space="preserve">Na území </w:t>
      </w:r>
      <w:r w:rsidR="00625E32">
        <w:t xml:space="preserve">regionu </w:t>
      </w:r>
      <w:r>
        <w:t>se nachází několik významných přírodních lokalit</w:t>
      </w:r>
      <w:r w:rsidR="00B05856">
        <w:t>.</w:t>
      </w:r>
    </w:p>
    <w:p w:rsidR="0061369F" w:rsidRPr="0061369F" w:rsidRDefault="0061369F" w:rsidP="00B05856">
      <w:pPr>
        <w:rPr>
          <w:b/>
        </w:rPr>
      </w:pPr>
      <w:r w:rsidRPr="0061369F">
        <w:rPr>
          <w:b/>
        </w:rPr>
        <w:t>Maloplošná zvláště chráněná území.</w:t>
      </w:r>
    </w:p>
    <w:p w:rsidR="008E5BF3" w:rsidRPr="008E5BF3" w:rsidRDefault="00232E32" w:rsidP="00A60AC9">
      <w:pPr>
        <w:pStyle w:val="Odstavecseseznamem"/>
        <w:numPr>
          <w:ilvl w:val="0"/>
          <w:numId w:val="49"/>
        </w:numPr>
      </w:pPr>
      <w:r>
        <w:t>Toulovcovy Maštale</w:t>
      </w:r>
      <w:r w:rsidR="008E5BF3">
        <w:t xml:space="preserve"> (přírodní památka)</w:t>
      </w:r>
      <w:r w:rsidR="008E5BF3" w:rsidRPr="008E5BF3">
        <w:t xml:space="preserve"> oblast pískovcových skal a borových lesů. Celková plocha chráněného území je 226,6 ha. Maštale leží v okolí obcí Nové Hrady, Budislav, Jarošov, Bor u Skutče a Proseč.</w:t>
      </w:r>
    </w:p>
    <w:p w:rsidR="00382E7B" w:rsidRDefault="00232E32" w:rsidP="00A60AC9">
      <w:pPr>
        <w:pStyle w:val="Odstavecseseznamem"/>
        <w:numPr>
          <w:ilvl w:val="0"/>
          <w:numId w:val="49"/>
        </w:numPr>
      </w:pPr>
      <w:r>
        <w:t>Nedošínský háj</w:t>
      </w:r>
      <w:r w:rsidR="008E5BF3">
        <w:t xml:space="preserve"> (přírodní památka)</w:t>
      </w:r>
      <w:r w:rsidR="0061369F">
        <w:t xml:space="preserve"> </w:t>
      </w:r>
      <w:r w:rsidR="00CA1F6B">
        <w:t>se rozkládá mezi obcemi Tržek</w:t>
      </w:r>
      <w:r w:rsidR="0061369F" w:rsidRPr="0061369F">
        <w:t xml:space="preserve"> a Nedošín. Je tvořený přirozeným porostem</w:t>
      </w:r>
      <w:r w:rsidRPr="0061369F">
        <w:t xml:space="preserve"> </w:t>
      </w:r>
      <w:r w:rsidR="0061369F" w:rsidRPr="0061369F">
        <w:t>dubo-habrového</w:t>
      </w:r>
      <w:r w:rsidRPr="0061369F">
        <w:t xml:space="preserve"> lužního</w:t>
      </w:r>
      <w:r>
        <w:t xml:space="preserve"> lesa o rozloze 30,7 ha</w:t>
      </w:r>
      <w:r w:rsidR="0061369F">
        <w:t>.</w:t>
      </w:r>
    </w:p>
    <w:p w:rsidR="0061369F" w:rsidRDefault="00232E32" w:rsidP="00A60AC9">
      <w:pPr>
        <w:pStyle w:val="Odstavecseseznamem"/>
        <w:numPr>
          <w:ilvl w:val="0"/>
          <w:numId w:val="49"/>
        </w:numPr>
      </w:pPr>
      <w:r>
        <w:t>V bukách a Sněženky ve Vysokém lese o celkové rozloze 2,2 ha nacházející se na katastrálním území obce Chmelík</w:t>
      </w:r>
      <w:r w:rsidR="0061369F">
        <w:t>.</w:t>
      </w:r>
    </w:p>
    <w:p w:rsidR="0061369F" w:rsidRPr="0061369F" w:rsidRDefault="0061369F" w:rsidP="00A60AC9">
      <w:pPr>
        <w:pStyle w:val="Odstavecseseznamem"/>
        <w:numPr>
          <w:ilvl w:val="0"/>
          <w:numId w:val="49"/>
        </w:numPr>
      </w:pPr>
      <w:r w:rsidRPr="0061369F">
        <w:t xml:space="preserve">Střítežská rokle </w:t>
      </w:r>
      <w:r>
        <w:t>(přírodní památka)</w:t>
      </w:r>
      <w:r w:rsidRPr="0061369F">
        <w:t xml:space="preserve"> je cenný geologický a geomorfologický útvar. Významné výskytiště silně ohroženého živočišného druhu mloka skvrnitého. Výměra rokle je 16,4 ha. Rokle leží mezi obcemi Hluboká a Zderaz.</w:t>
      </w:r>
    </w:p>
    <w:p w:rsidR="0061369F" w:rsidRDefault="0061369F" w:rsidP="00A60AC9">
      <w:pPr>
        <w:pStyle w:val="Odstavecseseznamem"/>
        <w:numPr>
          <w:ilvl w:val="0"/>
          <w:numId w:val="49"/>
        </w:numPr>
      </w:pPr>
      <w:r w:rsidRPr="0061369F">
        <w:lastRenderedPageBreak/>
        <w:t>U Vinic (přírodní památka) se nachází poblíž Vysokého Mýta.</w:t>
      </w:r>
    </w:p>
    <w:p w:rsidR="0061369F" w:rsidRPr="0061369F" w:rsidRDefault="0061369F" w:rsidP="00A60AC9">
      <w:pPr>
        <w:pStyle w:val="Odstavecseseznamem"/>
        <w:numPr>
          <w:ilvl w:val="0"/>
          <w:numId w:val="49"/>
        </w:numPr>
      </w:pPr>
      <w:r w:rsidRPr="0061369F">
        <w:t xml:space="preserve">Pivnice je přírodní památka nacházející </w:t>
      </w:r>
      <w:r>
        <w:t xml:space="preserve">se </w:t>
      </w:r>
      <w:r w:rsidRPr="0061369F">
        <w:t>severně od obce Zderaz. Rozloha kaňonu</w:t>
      </w:r>
      <w:r>
        <w:t xml:space="preserve"> je</w:t>
      </w:r>
      <w:r w:rsidRPr="0061369F">
        <w:t xml:space="preserve"> 34 ha. Jedná se o zalesněný pískovcový kaňon s rozličnými tvary</w:t>
      </w:r>
      <w:r>
        <w:t xml:space="preserve"> vlivem</w:t>
      </w:r>
      <w:r w:rsidRPr="0061369F">
        <w:t xml:space="preserve"> zvětrávání </w:t>
      </w:r>
      <w:r>
        <w:t xml:space="preserve">a </w:t>
      </w:r>
      <w:r w:rsidRPr="0061369F">
        <w:t xml:space="preserve">s výskytem vzácných druhů </w:t>
      </w:r>
      <w:hyperlink r:id="rId45" w:history="1">
        <w:r w:rsidRPr="0061369F">
          <w:t>ros</w:t>
        </w:r>
      </w:hyperlink>
      <w:r w:rsidRPr="0061369F">
        <w:t xml:space="preserve">tlin a živočichů. </w:t>
      </w:r>
    </w:p>
    <w:p w:rsidR="00232E32" w:rsidRDefault="00232E32" w:rsidP="00A60AC9">
      <w:pPr>
        <w:pStyle w:val="Odstavecseseznamem"/>
        <w:numPr>
          <w:ilvl w:val="0"/>
          <w:numId w:val="49"/>
        </w:numPr>
      </w:pPr>
      <w:r>
        <w:t>Psí kuc</w:t>
      </w:r>
      <w:r w:rsidR="0061369F">
        <w:t>hyně (přírodní rezervace) o rozloze 35,6 ha ležící v</w:t>
      </w:r>
      <w:r>
        <w:t xml:space="preserve"> katastrálním území </w:t>
      </w:r>
      <w:r w:rsidR="0061369F">
        <w:t xml:space="preserve">obce </w:t>
      </w:r>
      <w:r>
        <w:t>Janov.</w:t>
      </w:r>
    </w:p>
    <w:p w:rsidR="00FC477C" w:rsidRPr="0061369F" w:rsidRDefault="0061369F" w:rsidP="0061369F">
      <w:pPr>
        <w:rPr>
          <w:b/>
        </w:rPr>
      </w:pPr>
      <w:r>
        <w:rPr>
          <w:b/>
        </w:rPr>
        <w:t>Evropský významná lokalita.</w:t>
      </w:r>
    </w:p>
    <w:p w:rsidR="00FC477C" w:rsidRPr="0061369F" w:rsidRDefault="00FC477C" w:rsidP="00A60AC9">
      <w:pPr>
        <w:pStyle w:val="Odstavecseseznamem"/>
        <w:numPr>
          <w:ilvl w:val="0"/>
          <w:numId w:val="49"/>
        </w:numPr>
      </w:pPr>
      <w:r w:rsidRPr="0061369F">
        <w:t xml:space="preserve">Psí kuchyně ležící na katastrálním území Janov o rozloze 116,5 ha. </w:t>
      </w:r>
      <w:r w:rsidR="0061369F">
        <w:t>Je ukázkou</w:t>
      </w:r>
      <w:r w:rsidRPr="0061369F">
        <w:t xml:space="preserve"> přirozeného vývoje převážně bukového pralesa, kde zaujmou možná více buky padlé a proces jejich rozpadu, než stromy živé.</w:t>
      </w:r>
      <w:r w:rsidR="0061369F">
        <w:t xml:space="preserve"> Tato evropsky významná lokalita se částečně překrývá s maloplošným zvláště chráněným územím uvedeným výše.</w:t>
      </w:r>
    </w:p>
    <w:p w:rsidR="00FC477C" w:rsidRPr="0061369F" w:rsidRDefault="00FC477C" w:rsidP="0061369F">
      <w:pPr>
        <w:rPr>
          <w:b/>
        </w:rPr>
      </w:pPr>
      <w:r w:rsidRPr="0061369F">
        <w:rPr>
          <w:b/>
        </w:rPr>
        <w:t>V regionu se dále vyskytuje několik desítek památných stromů.</w:t>
      </w:r>
    </w:p>
    <w:p w:rsidR="00696F2C" w:rsidRDefault="00696F2C" w:rsidP="00382E7B">
      <w:pPr>
        <w:pStyle w:val="Nadpis5"/>
      </w:pPr>
      <w:r>
        <w:t>Shrnutí informací o životním prostředí</w:t>
      </w:r>
    </w:p>
    <w:tbl>
      <w:tblPr>
        <w:tblStyle w:val="Mkatabulky"/>
        <w:tblW w:w="0" w:type="auto"/>
        <w:tblLook w:val="04A0"/>
      </w:tblPr>
      <w:tblGrid>
        <w:gridCol w:w="4606"/>
        <w:gridCol w:w="4606"/>
      </w:tblGrid>
      <w:tr w:rsidR="007627A2" w:rsidTr="002D6B2C">
        <w:trPr>
          <w:cantSplit/>
        </w:trPr>
        <w:tc>
          <w:tcPr>
            <w:tcW w:w="4606" w:type="dxa"/>
            <w:shd w:val="clear" w:color="auto" w:fill="D6E3BC" w:themeFill="accent3" w:themeFillTint="66"/>
          </w:tcPr>
          <w:p w:rsidR="007627A2" w:rsidRPr="000F7E1C" w:rsidRDefault="007627A2" w:rsidP="002D6B2C">
            <w:pPr>
              <w:rPr>
                <w:b/>
              </w:rPr>
            </w:pPr>
            <w:r w:rsidRPr="000F7E1C">
              <w:rPr>
                <w:b/>
              </w:rPr>
              <w:t>S „Silné stránky“</w:t>
            </w:r>
          </w:p>
        </w:tc>
        <w:tc>
          <w:tcPr>
            <w:tcW w:w="4606" w:type="dxa"/>
            <w:shd w:val="clear" w:color="auto" w:fill="FBD4B4" w:themeFill="accent6" w:themeFillTint="66"/>
          </w:tcPr>
          <w:p w:rsidR="007627A2" w:rsidRPr="000F7E1C" w:rsidRDefault="007627A2" w:rsidP="002D6B2C">
            <w:pPr>
              <w:rPr>
                <w:b/>
              </w:rPr>
            </w:pPr>
            <w:r w:rsidRPr="000F7E1C">
              <w:rPr>
                <w:b/>
              </w:rPr>
              <w:t>W „Slabé stránky“</w:t>
            </w:r>
          </w:p>
        </w:tc>
      </w:tr>
      <w:tr w:rsidR="007627A2" w:rsidTr="002D6B2C">
        <w:trPr>
          <w:cantSplit/>
          <w:trHeight w:val="2309"/>
        </w:trPr>
        <w:tc>
          <w:tcPr>
            <w:tcW w:w="4606" w:type="dxa"/>
            <w:shd w:val="clear" w:color="auto" w:fill="EAF1DD" w:themeFill="accent3" w:themeFillTint="33"/>
          </w:tcPr>
          <w:p w:rsidR="008B193F" w:rsidRDefault="008B193F" w:rsidP="00A60AC9">
            <w:pPr>
              <w:pStyle w:val="Odstavecseseznamem"/>
              <w:numPr>
                <w:ilvl w:val="0"/>
                <w:numId w:val="26"/>
              </w:numPr>
            </w:pPr>
            <w:r>
              <w:t>Celkové dobrý stav životního prostředí (vody, ovzduší, půdy, hluk, prach...)</w:t>
            </w:r>
          </w:p>
          <w:p w:rsidR="007627A2" w:rsidRDefault="007627A2" w:rsidP="008B193F">
            <w:pPr>
              <w:pStyle w:val="Odstavecseseznamem"/>
              <w:ind w:left="720"/>
            </w:pPr>
          </w:p>
        </w:tc>
        <w:tc>
          <w:tcPr>
            <w:tcW w:w="4606" w:type="dxa"/>
            <w:shd w:val="clear" w:color="auto" w:fill="FDE9D9" w:themeFill="accent6" w:themeFillTint="33"/>
          </w:tcPr>
          <w:p w:rsidR="007627A2" w:rsidRDefault="008B193F" w:rsidP="00A60AC9">
            <w:pPr>
              <w:pStyle w:val="Odstavecseseznamem"/>
              <w:numPr>
                <w:ilvl w:val="0"/>
                <w:numId w:val="25"/>
              </w:numPr>
            </w:pPr>
            <w:r>
              <w:t>Silná doprava v některých lokalitách.</w:t>
            </w:r>
          </w:p>
        </w:tc>
      </w:tr>
      <w:tr w:rsidR="007627A2" w:rsidTr="002D6B2C">
        <w:trPr>
          <w:cantSplit/>
        </w:trPr>
        <w:tc>
          <w:tcPr>
            <w:tcW w:w="4606" w:type="dxa"/>
            <w:shd w:val="clear" w:color="auto" w:fill="B8CCE4" w:themeFill="accent1" w:themeFillTint="66"/>
          </w:tcPr>
          <w:p w:rsidR="007627A2" w:rsidRPr="000F7E1C" w:rsidRDefault="007627A2" w:rsidP="002D6B2C">
            <w:pPr>
              <w:rPr>
                <w:b/>
              </w:rPr>
            </w:pPr>
            <w:r w:rsidRPr="000F7E1C">
              <w:rPr>
                <w:b/>
              </w:rPr>
              <w:t>O „Příležitosti“</w:t>
            </w:r>
          </w:p>
        </w:tc>
        <w:tc>
          <w:tcPr>
            <w:tcW w:w="4606" w:type="dxa"/>
            <w:shd w:val="clear" w:color="auto" w:fill="E5B8B7" w:themeFill="accent2" w:themeFillTint="66"/>
          </w:tcPr>
          <w:p w:rsidR="007627A2" w:rsidRPr="000F7E1C" w:rsidRDefault="007627A2" w:rsidP="002D6B2C">
            <w:pPr>
              <w:rPr>
                <w:b/>
              </w:rPr>
            </w:pPr>
            <w:r w:rsidRPr="000F7E1C">
              <w:rPr>
                <w:b/>
              </w:rPr>
              <w:t>T „Hrozby“</w:t>
            </w:r>
          </w:p>
        </w:tc>
      </w:tr>
      <w:tr w:rsidR="007627A2" w:rsidTr="002D6B2C">
        <w:trPr>
          <w:cantSplit/>
          <w:trHeight w:val="2829"/>
        </w:trPr>
        <w:tc>
          <w:tcPr>
            <w:tcW w:w="4606" w:type="dxa"/>
            <w:shd w:val="clear" w:color="auto" w:fill="DBE5F1" w:themeFill="accent1" w:themeFillTint="33"/>
          </w:tcPr>
          <w:p w:rsidR="007627A2" w:rsidRDefault="008B193F" w:rsidP="00A60AC9">
            <w:pPr>
              <w:pStyle w:val="Odstavecseseznamem"/>
              <w:numPr>
                <w:ilvl w:val="0"/>
                <w:numId w:val="26"/>
              </w:numPr>
            </w:pPr>
            <w:r>
              <w:t>Turistický potenciál chráněných prvků.</w:t>
            </w:r>
          </w:p>
        </w:tc>
        <w:tc>
          <w:tcPr>
            <w:tcW w:w="4606" w:type="dxa"/>
            <w:shd w:val="clear" w:color="auto" w:fill="F2DBDB" w:themeFill="accent2" w:themeFillTint="33"/>
          </w:tcPr>
          <w:p w:rsidR="007627A2" w:rsidRDefault="008B193F" w:rsidP="00A60AC9">
            <w:pPr>
              <w:pStyle w:val="Odstavecseseznamem"/>
              <w:numPr>
                <w:ilvl w:val="0"/>
                <w:numId w:val="27"/>
              </w:numPr>
            </w:pPr>
            <w:r>
              <w:t>Riziko eroze půd.</w:t>
            </w:r>
          </w:p>
          <w:p w:rsidR="008B193F" w:rsidRDefault="008B193F" w:rsidP="00A60AC9">
            <w:pPr>
              <w:pStyle w:val="Odstavecseseznamem"/>
              <w:numPr>
                <w:ilvl w:val="0"/>
                <w:numId w:val="27"/>
              </w:numPr>
            </w:pPr>
            <w:r>
              <w:t>Riziko povodní v některých obcích.</w:t>
            </w:r>
          </w:p>
          <w:p w:rsidR="008B193F" w:rsidRDefault="008B193F" w:rsidP="00A60AC9">
            <w:pPr>
              <w:pStyle w:val="Odstavecseseznamem"/>
              <w:numPr>
                <w:ilvl w:val="0"/>
                <w:numId w:val="27"/>
              </w:numPr>
            </w:pPr>
            <w:r>
              <w:t>Meteorologická rizika.</w:t>
            </w:r>
          </w:p>
        </w:tc>
      </w:tr>
    </w:tbl>
    <w:p w:rsidR="007E342E" w:rsidRDefault="007E342E" w:rsidP="007E342E"/>
    <w:p w:rsidR="00382E7B" w:rsidRDefault="008B193F" w:rsidP="00A60AC9">
      <w:pPr>
        <w:pStyle w:val="Odstavecseseznamem"/>
        <w:numPr>
          <w:ilvl w:val="0"/>
          <w:numId w:val="27"/>
        </w:numPr>
      </w:pPr>
      <w:r>
        <w:t xml:space="preserve">Silná doprava v některých lokalitách a uzlech (zejména Litomyšl) je řešena velkými projekty mimo vliv MAS (zejména rekonstrukce a budování obchvatů silnice R35). Více </w:t>
      </w:r>
      <w:r w:rsidR="004852F9">
        <w:t>k této problematice uvádí kapitola 2.1.3 Doprava.</w:t>
      </w:r>
    </w:p>
    <w:p w:rsidR="004852F9" w:rsidRDefault="004852F9" w:rsidP="00A60AC9">
      <w:pPr>
        <w:pStyle w:val="Odstavecseseznamem"/>
        <w:numPr>
          <w:ilvl w:val="0"/>
          <w:numId w:val="27"/>
        </w:numPr>
      </w:pPr>
      <w:r>
        <w:t>Riziko povodní a erozí půd pomohou zajistit plánovaná protipovodňová opatření, která v případě možnosti budou financována z dotačních prostředků, a zodpovědná práce s krajinou, plodinami, krajinnými prvky proti erozi a pro podporu zadržování vody v krajině. V tomto ohledů mají zájem realizovat projekty zejména zemědělští podnikatelé v regionu (více viz 2.1.11.4 Shrnutí informací o zemědělství, potravinářství a lesnictví).</w:t>
      </w:r>
    </w:p>
    <w:p w:rsidR="004852F9" w:rsidRPr="007E342E" w:rsidRDefault="004852F9" w:rsidP="00A60AC9">
      <w:pPr>
        <w:pStyle w:val="Odstavecseseznamem"/>
        <w:numPr>
          <w:ilvl w:val="0"/>
          <w:numId w:val="27"/>
        </w:numPr>
      </w:pPr>
      <w:r>
        <w:t>Ostatní negativní stránky životního prostředí nejsou řešitelné možnostmi MAS.</w:t>
      </w:r>
    </w:p>
    <w:p w:rsidR="00120802" w:rsidRDefault="00120802" w:rsidP="000F7E1C">
      <w:pPr>
        <w:pStyle w:val="Nadpis4"/>
      </w:pPr>
      <w:r w:rsidRPr="000F7E1C">
        <w:t>Odpadové hospodářství</w:t>
      </w:r>
    </w:p>
    <w:p w:rsidR="007D48CF" w:rsidRDefault="007D48CF" w:rsidP="00CF04EE">
      <w:r>
        <w:t>Pro účely tohoto strategického dokumentu budou odpady produkované v regionu členěny následujícím způsobem.</w:t>
      </w:r>
    </w:p>
    <w:p w:rsidR="007D48CF" w:rsidRDefault="007D48CF" w:rsidP="00CF04EE">
      <w:r>
        <w:t>Podle typu odpadu:</w:t>
      </w:r>
    </w:p>
    <w:p w:rsidR="007D48CF" w:rsidRDefault="007D48CF" w:rsidP="00A60AC9">
      <w:pPr>
        <w:pStyle w:val="Odstavecseseznamem"/>
        <w:numPr>
          <w:ilvl w:val="0"/>
          <w:numId w:val="24"/>
        </w:numPr>
      </w:pPr>
      <w:r>
        <w:t>směsný odpad;</w:t>
      </w:r>
    </w:p>
    <w:p w:rsidR="007D48CF" w:rsidRDefault="007D48CF" w:rsidP="00A60AC9">
      <w:pPr>
        <w:pStyle w:val="Odstavecseseznamem"/>
        <w:numPr>
          <w:ilvl w:val="0"/>
          <w:numId w:val="24"/>
        </w:numPr>
      </w:pPr>
      <w:r>
        <w:t>tříděný odpad;</w:t>
      </w:r>
    </w:p>
    <w:p w:rsidR="007D48CF" w:rsidRDefault="007D48CF" w:rsidP="00A60AC9">
      <w:pPr>
        <w:pStyle w:val="Odstavecseseznamem"/>
        <w:numPr>
          <w:ilvl w:val="1"/>
          <w:numId w:val="24"/>
        </w:numPr>
      </w:pPr>
      <w:r>
        <w:t>papír;</w:t>
      </w:r>
    </w:p>
    <w:p w:rsidR="007D48CF" w:rsidRDefault="007D48CF" w:rsidP="00A60AC9">
      <w:pPr>
        <w:pStyle w:val="Odstavecseseznamem"/>
        <w:numPr>
          <w:ilvl w:val="1"/>
          <w:numId w:val="24"/>
        </w:numPr>
      </w:pPr>
      <w:r>
        <w:t>plast;</w:t>
      </w:r>
    </w:p>
    <w:p w:rsidR="003F7A57" w:rsidRDefault="003F7A57" w:rsidP="00A60AC9">
      <w:pPr>
        <w:pStyle w:val="Odstavecseseznamem"/>
        <w:numPr>
          <w:ilvl w:val="1"/>
          <w:numId w:val="24"/>
        </w:numPr>
      </w:pPr>
      <w:r>
        <w:t>sklo;</w:t>
      </w:r>
    </w:p>
    <w:p w:rsidR="007D48CF" w:rsidRDefault="007D48CF" w:rsidP="00A60AC9">
      <w:pPr>
        <w:pStyle w:val="Odstavecseseznamem"/>
        <w:numPr>
          <w:ilvl w:val="1"/>
          <w:numId w:val="24"/>
        </w:numPr>
      </w:pPr>
      <w:r>
        <w:t>elektro</w:t>
      </w:r>
      <w:r w:rsidR="00D5586B">
        <w:t>odpad</w:t>
      </w:r>
      <w:r>
        <w:t>;</w:t>
      </w:r>
    </w:p>
    <w:p w:rsidR="007D48CF" w:rsidRDefault="007D48CF" w:rsidP="00A60AC9">
      <w:pPr>
        <w:pStyle w:val="Odstavecseseznamem"/>
        <w:numPr>
          <w:ilvl w:val="0"/>
          <w:numId w:val="24"/>
        </w:numPr>
      </w:pPr>
      <w:r>
        <w:t>bi</w:t>
      </w:r>
      <w:r w:rsidR="007C35B1">
        <w:t>o</w:t>
      </w:r>
      <w:r>
        <w:t>logick</w:t>
      </w:r>
      <w:r w:rsidR="00CA63C7">
        <w:t xml:space="preserve">ý </w:t>
      </w:r>
      <w:r>
        <w:t>odpad;</w:t>
      </w:r>
    </w:p>
    <w:p w:rsidR="007D48CF" w:rsidRDefault="007D48CF" w:rsidP="00A60AC9">
      <w:pPr>
        <w:pStyle w:val="Odstavecseseznamem"/>
        <w:numPr>
          <w:ilvl w:val="0"/>
          <w:numId w:val="24"/>
        </w:numPr>
      </w:pPr>
      <w:r>
        <w:t>nebezpečný odpad;</w:t>
      </w:r>
    </w:p>
    <w:p w:rsidR="007D48CF" w:rsidRDefault="007D48CF" w:rsidP="00A60AC9">
      <w:pPr>
        <w:pStyle w:val="Odstavecseseznamem"/>
        <w:numPr>
          <w:ilvl w:val="0"/>
          <w:numId w:val="24"/>
        </w:numPr>
      </w:pPr>
      <w:r>
        <w:t>kovy.</w:t>
      </w:r>
    </w:p>
    <w:p w:rsidR="007D48CF" w:rsidRDefault="007D48CF" w:rsidP="00CF04EE">
      <w:r>
        <w:t>Dle producenta:</w:t>
      </w:r>
    </w:p>
    <w:p w:rsidR="007D48CF" w:rsidRDefault="007D48CF" w:rsidP="00A60AC9">
      <w:pPr>
        <w:pStyle w:val="Odstavecseseznamem"/>
        <w:numPr>
          <w:ilvl w:val="0"/>
          <w:numId w:val="23"/>
        </w:numPr>
      </w:pPr>
      <w:r>
        <w:lastRenderedPageBreak/>
        <w:t>domácnosti, činnost obce a drobní podnikatelé,</w:t>
      </w:r>
    </w:p>
    <w:p w:rsidR="007D48CF" w:rsidRDefault="007D48CF" w:rsidP="00A60AC9">
      <w:pPr>
        <w:pStyle w:val="Odstavecseseznamem"/>
        <w:numPr>
          <w:ilvl w:val="0"/>
          <w:numId w:val="23"/>
        </w:numPr>
      </w:pPr>
      <w:r>
        <w:t>průmyslový odpad.</w:t>
      </w:r>
    </w:p>
    <w:p w:rsidR="007D48CF" w:rsidRDefault="007D48CF" w:rsidP="007D48CF"/>
    <w:p w:rsidR="007D48CF" w:rsidRDefault="007D48CF" w:rsidP="007D48CF">
      <w:r>
        <w:t>T</w:t>
      </w:r>
      <w:r w:rsidR="004C0D74">
        <w:t xml:space="preserve">ato část </w:t>
      </w:r>
      <w:r>
        <w:t xml:space="preserve">se dále bude věnovat pouze odpadům produkovaným v obyvateli, drobnými </w:t>
      </w:r>
      <w:r w:rsidR="00D5586B">
        <w:t>podnikateli</w:t>
      </w:r>
      <w:r>
        <w:t xml:space="preserve">, městy a obcemi. Odpady produkované většími firmami jsou řešeny individuálně na základě smluv mezi producenty odpadů a subjekty, které </w:t>
      </w:r>
      <w:r w:rsidR="00D5586B">
        <w:t>nakládání s odpady řeší.</w:t>
      </w:r>
    </w:p>
    <w:p w:rsidR="00D5586B" w:rsidRDefault="00D5586B" w:rsidP="00D5586B">
      <w:pPr>
        <w:pStyle w:val="Nadpis5"/>
      </w:pPr>
      <w:r>
        <w:t>Nakládání se směsným odpadem</w:t>
      </w:r>
    </w:p>
    <w:p w:rsidR="00D5586B" w:rsidRDefault="00D5586B" w:rsidP="00D5586B">
      <w:r>
        <w:t>Nakládání se směsným komunálním odpadem je zajišťováno městy a obcemi, a to formou smluv se soukromými společnostmi, které samotný odvoz odpadu řeší. Odvoz je ve všech městech a obcích realizován formou odvozu přímo od domů obyvatel,a to minimálně 1x za 2 týdny.</w:t>
      </w:r>
    </w:p>
    <w:p w:rsidR="00D5586B" w:rsidRPr="00D5586B" w:rsidRDefault="00D5586B" w:rsidP="00D5586B">
      <w:r>
        <w:t>Financování obce a města vybírají od obyvatel poplatky za odvoz komunálního odpadu, které se řídí vyhláškami měst a obcí.</w:t>
      </w:r>
    </w:p>
    <w:p w:rsidR="00D5586B" w:rsidRDefault="00D5586B" w:rsidP="00D5586B">
      <w:pPr>
        <w:pStyle w:val="Nadpis5"/>
      </w:pPr>
      <w:r>
        <w:t>Nakládání s tříděným odpadem</w:t>
      </w:r>
    </w:p>
    <w:p w:rsidR="00E45963" w:rsidRDefault="00D5586B" w:rsidP="00D5586B">
      <w:r>
        <w:t>Ve všech obcích</w:t>
      </w:r>
      <w:r w:rsidR="00E45963">
        <w:t xml:space="preserve"> je zajištěn sběr a odvoz tříděného odpadu (papír, plast</w:t>
      </w:r>
      <w:r w:rsidR="003F7A57">
        <w:t>, sklo</w:t>
      </w:r>
      <w:r w:rsidR="00E45963">
        <w:t>), a to buď umístěním sběrných nádob na tříděný odpad (obsluha nádob je v režii soukromých společností) nebo formou odvozu těchto odpadů přímo od domů obyvatel (zajišťují obce, realizují soukromé společnosti).</w:t>
      </w:r>
    </w:p>
    <w:p w:rsidR="00D5586B" w:rsidRDefault="00E45963" w:rsidP="00D5586B">
      <w:r>
        <w:t>Nádoby pro sběr elektroodpadu jsou umístěn</w:t>
      </w:r>
      <w:r w:rsidR="00DD5B91">
        <w:t>y</w:t>
      </w:r>
      <w:r>
        <w:t xml:space="preserve"> pouze ve</w:t>
      </w:r>
      <w:r w:rsidR="00296374">
        <w:t xml:space="preserve"> větších obcích a</w:t>
      </w:r>
      <w:r>
        <w:t xml:space="preserve"> městech. U elektroodpadu je ale organizován zpětný odběr a následná ekologická likvidace příslušnými firmami.</w:t>
      </w:r>
      <w:r w:rsidR="00DD5B91">
        <w:t xml:space="preserve"> Tuto službu zajišťují dle platné legislativy obce (realizují určené firmy), avš</w:t>
      </w:r>
      <w:r w:rsidR="00A13045">
        <w:t>ak ne</w:t>
      </w:r>
      <w:r w:rsidR="00DD5B91">
        <w:t xml:space="preserve"> všechny obce disponují pro tyto služby vhodnými podmínkami (sběrné dvory, vhodné nádoby).</w:t>
      </w:r>
    </w:p>
    <w:p w:rsidR="00296374" w:rsidRPr="00D5586B" w:rsidRDefault="00DD5B91" w:rsidP="00296374">
      <w:r>
        <w:t>P</w:t>
      </w:r>
      <w:r w:rsidR="00296374">
        <w:t>ro</w:t>
      </w:r>
      <w:r>
        <w:t xml:space="preserve"> elektroodpad stejně jako pro</w:t>
      </w:r>
      <w:r w:rsidR="00296374">
        <w:t xml:space="preserve"> </w:t>
      </w:r>
      <w:r>
        <w:t>tříděný odpad</w:t>
      </w:r>
      <w:r w:rsidR="00296374">
        <w:t xml:space="preserve">, kovy a nebezpečné odpady k dispozici sběrné dvory, které jsou ale </w:t>
      </w:r>
      <w:r>
        <w:t>zřízené</w:t>
      </w:r>
      <w:r w:rsidR="00296374">
        <w:t xml:space="preserve"> pouze v některých obcích a jejich dostupnost obyvatelům jiných obcí je tedy nevyhovující.</w:t>
      </w:r>
      <w:r w:rsidR="00A13045">
        <w:t xml:space="preserve"> </w:t>
      </w:r>
      <w:r w:rsidR="00296374">
        <w:t>Sběrné dvory jsou k dispozici ve Vysokém Mýtě, Litomyšli, Dolním Újezdě, Osíku, Morašicích, Strakově</w:t>
      </w:r>
      <w:r w:rsidR="00A661A6">
        <w:t>, Lubné</w:t>
      </w:r>
      <w:r w:rsidR="00296374">
        <w:t xml:space="preserve"> a Sloupnici.</w:t>
      </w:r>
    </w:p>
    <w:p w:rsidR="00D5586B" w:rsidRDefault="00D5586B" w:rsidP="00D5586B">
      <w:pPr>
        <w:pStyle w:val="Nadpis5"/>
      </w:pPr>
      <w:r>
        <w:lastRenderedPageBreak/>
        <w:t>Nakládání s biologick</w:t>
      </w:r>
      <w:r w:rsidR="00CA63C7">
        <w:t>ým odpadem</w:t>
      </w:r>
    </w:p>
    <w:p w:rsidR="00DD5B91" w:rsidRDefault="00DD5B91" w:rsidP="00DD5B91">
      <w:r>
        <w:t>Ve městech Vysoké Mýto a Litomyšl jsou k dispozici kompostárny, které využívají i některé okolní obce</w:t>
      </w:r>
      <w:r w:rsidR="00CA63C7">
        <w:t xml:space="preserve"> (svoz kontejnerů na bioodpad</w:t>
      </w:r>
      <w:r w:rsidR="00332EBE">
        <w:t xml:space="preserve"> cca z jedné třetiny obcí</w:t>
      </w:r>
      <w:r w:rsidR="00CA63C7">
        <w:t>)</w:t>
      </w:r>
      <w:r>
        <w:t>. Většina obyvatel malých obcí je ale nucena likvidovat tento odpad na vlastních pozemcích individuálním kompostováním. Pro obyvatele, kteří tuto možnost nemají</w:t>
      </w:r>
      <w:r w:rsidR="00662CE2">
        <w:t>,</w:t>
      </w:r>
      <w:r>
        <w:t xml:space="preserve"> jsou vhodné možnosti likvidace biologického odpadu omezené. </w:t>
      </w:r>
    </w:p>
    <w:p w:rsidR="00765991" w:rsidRPr="00DD5B91" w:rsidRDefault="00765991" w:rsidP="00DD5B91">
      <w:r>
        <w:t>Bi</w:t>
      </w:r>
      <w:r w:rsidR="00A13045">
        <w:t>o</w:t>
      </w:r>
      <w:r>
        <w:t>logický odpad nevhodný ke kompostování je</w:t>
      </w:r>
      <w:r w:rsidR="00A661A6">
        <w:t xml:space="preserve"> při absenci možnosti vhodného uložení</w:t>
      </w:r>
      <w:r>
        <w:t xml:space="preserve"> o</w:t>
      </w:r>
      <w:r w:rsidR="00A661A6">
        <w:t>byvateli</w:t>
      </w:r>
      <w:r>
        <w:t xml:space="preserve"> často uložen ke směsnému komunálnímu odpadu nebo</w:t>
      </w:r>
      <w:r w:rsidR="00A661A6">
        <w:t xml:space="preserve"> individuálně</w:t>
      </w:r>
      <w:r>
        <w:t xml:space="preserve"> </w:t>
      </w:r>
      <w:r w:rsidR="00A661A6">
        <w:t>spalován.</w:t>
      </w:r>
    </w:p>
    <w:p w:rsidR="00D5586B" w:rsidRDefault="00D5586B" w:rsidP="00D5586B">
      <w:pPr>
        <w:pStyle w:val="Nadpis5"/>
      </w:pPr>
      <w:r>
        <w:t>Nakládání s nebezpečným odpadem</w:t>
      </w:r>
    </w:p>
    <w:p w:rsidR="00296374" w:rsidRPr="00296374" w:rsidRDefault="00296374" w:rsidP="00296374">
      <w:r>
        <w:t>Obyvatelé mají možnost</w:t>
      </w:r>
      <w:r w:rsidR="00DD5B91">
        <w:t xml:space="preserve"> využít některého ze sběrných dvorů uvedených níže nebo jeho odvozu od místa bydliště, který zajišťují obce. Kontinuální možnost uložení nebezpečných odpadů ale ve většině případů chybí.</w:t>
      </w:r>
      <w:r w:rsidR="00A661A6">
        <w:t xml:space="preserve"> V důsledku toho obyvatelé někdy volí jeho uložení mezi směsný komunální odpad.</w:t>
      </w:r>
    </w:p>
    <w:p w:rsidR="00D5586B" w:rsidRDefault="00D5586B" w:rsidP="00D5586B">
      <w:pPr>
        <w:pStyle w:val="Nadpis5"/>
      </w:pPr>
      <w:r>
        <w:t>Nakládání s kovy</w:t>
      </w:r>
    </w:p>
    <w:p w:rsidR="00296374" w:rsidRDefault="00296374" w:rsidP="00296374">
      <w:r>
        <w:t>Obyvatelé mají možnost využít některý z výše uvedených sběrných dvorů nebo kovový odpad prodat v několika výkupnách, které se ale nacházejí pouze ve Vysokém Mýtě a v Litomyšli.</w:t>
      </w:r>
    </w:p>
    <w:p w:rsidR="00765991" w:rsidRDefault="00765991" w:rsidP="00765991">
      <w:pPr>
        <w:pStyle w:val="Nadpis5"/>
      </w:pPr>
      <w:r>
        <w:t>Ekologické zátěže a černé skládky</w:t>
      </w:r>
    </w:p>
    <w:p w:rsidR="00765991" w:rsidRDefault="00765991" w:rsidP="00765991">
      <w:r>
        <w:t>Na území MAS není problém s černými skládkami s výjimkou občasného individuálního volného uložení odpadu jednotlivými občany volně do krajiny.</w:t>
      </w:r>
    </w:p>
    <w:p w:rsidR="00765991" w:rsidRDefault="00765991" w:rsidP="00765991">
      <w:r>
        <w:t>V katastrálním území města Litomyšl se nachází uzavřená skládka, která představuje ekologickou zátěž z minulých let.</w:t>
      </w:r>
      <w:r w:rsidR="005308AD">
        <w:t xml:space="preserve"> Skládka by měla být zlikvidována, což ale neumožňují finanční možnosti. Za současných podmínek se doporučuje monitoring stavu skládky.</w:t>
      </w:r>
    </w:p>
    <w:p w:rsidR="005308AD" w:rsidRDefault="004E5862" w:rsidP="00765991">
      <w:r w:rsidRPr="004E5862">
        <w:t>Na území obce Bor u Skutče se</w:t>
      </w:r>
      <w:r>
        <w:t xml:space="preserve"> nachází bývalé požářiště vyhořelé skládky pneumatik. Obec se aktivně snaží získat dotační prostředky na likvidaci.</w:t>
      </w:r>
    </w:p>
    <w:p w:rsidR="005308AD" w:rsidRDefault="005308AD" w:rsidP="00765991"/>
    <w:p w:rsidR="00332EBE" w:rsidRDefault="00332EBE" w:rsidP="00332EBE">
      <w:pPr>
        <w:pStyle w:val="Nadpis5"/>
      </w:pPr>
      <w:r>
        <w:lastRenderedPageBreak/>
        <w:t>SWOT</w:t>
      </w:r>
    </w:p>
    <w:tbl>
      <w:tblPr>
        <w:tblStyle w:val="Mkatabulky"/>
        <w:tblW w:w="0" w:type="auto"/>
        <w:tblLook w:val="04A0"/>
      </w:tblPr>
      <w:tblGrid>
        <w:gridCol w:w="4606"/>
        <w:gridCol w:w="4606"/>
      </w:tblGrid>
      <w:tr w:rsidR="00332EBE" w:rsidTr="00942427">
        <w:trPr>
          <w:cantSplit/>
        </w:trPr>
        <w:tc>
          <w:tcPr>
            <w:tcW w:w="4606" w:type="dxa"/>
            <w:shd w:val="clear" w:color="auto" w:fill="D6E3BC" w:themeFill="accent3" w:themeFillTint="66"/>
          </w:tcPr>
          <w:p w:rsidR="00332EBE" w:rsidRPr="000F7E1C" w:rsidRDefault="00332EBE" w:rsidP="00942427">
            <w:pPr>
              <w:rPr>
                <w:b/>
              </w:rPr>
            </w:pPr>
            <w:r w:rsidRPr="00332EBE">
              <w:t xml:space="preserve"> </w:t>
            </w:r>
            <w:r w:rsidRPr="000F7E1C">
              <w:rPr>
                <w:b/>
              </w:rPr>
              <w:t>S „Silné stránky“</w:t>
            </w:r>
          </w:p>
        </w:tc>
        <w:tc>
          <w:tcPr>
            <w:tcW w:w="4606" w:type="dxa"/>
            <w:shd w:val="clear" w:color="auto" w:fill="FBD4B4" w:themeFill="accent6" w:themeFillTint="66"/>
          </w:tcPr>
          <w:p w:rsidR="00332EBE" w:rsidRPr="000F7E1C" w:rsidRDefault="00332EBE" w:rsidP="00942427">
            <w:pPr>
              <w:rPr>
                <w:b/>
              </w:rPr>
            </w:pPr>
            <w:r w:rsidRPr="000F7E1C">
              <w:rPr>
                <w:b/>
              </w:rPr>
              <w:t>W „Slabé stránky“</w:t>
            </w:r>
          </w:p>
        </w:tc>
      </w:tr>
      <w:tr w:rsidR="00332EBE" w:rsidTr="00942427">
        <w:trPr>
          <w:cantSplit/>
          <w:trHeight w:val="2309"/>
        </w:trPr>
        <w:tc>
          <w:tcPr>
            <w:tcW w:w="4606" w:type="dxa"/>
            <w:shd w:val="clear" w:color="auto" w:fill="EAF1DD" w:themeFill="accent3" w:themeFillTint="33"/>
          </w:tcPr>
          <w:p w:rsidR="00332EBE" w:rsidRDefault="00A97472" w:rsidP="00A60AC9">
            <w:pPr>
              <w:pStyle w:val="Odstavecseseznamem"/>
              <w:numPr>
                <w:ilvl w:val="0"/>
                <w:numId w:val="26"/>
              </w:numPr>
            </w:pPr>
            <w:r>
              <w:t>Vysoká míra třídění odpadů</w:t>
            </w:r>
          </w:p>
          <w:p w:rsidR="003E6740" w:rsidRDefault="003E6740" w:rsidP="00A60AC9">
            <w:pPr>
              <w:pStyle w:val="Odstavecseseznamem"/>
              <w:numPr>
                <w:ilvl w:val="0"/>
                <w:numId w:val="26"/>
              </w:numPr>
            </w:pPr>
            <w:r>
              <w:t>Fungující systém sv</w:t>
            </w:r>
            <w:r w:rsidR="004E5862">
              <w:t>ozu odpadů, který je možné rozví</w:t>
            </w:r>
            <w:r>
              <w:t>jet</w:t>
            </w:r>
          </w:p>
          <w:p w:rsidR="00A97472" w:rsidRDefault="00A97472" w:rsidP="00942427"/>
        </w:tc>
        <w:tc>
          <w:tcPr>
            <w:tcW w:w="4606" w:type="dxa"/>
            <w:shd w:val="clear" w:color="auto" w:fill="FDE9D9" w:themeFill="accent6" w:themeFillTint="33"/>
          </w:tcPr>
          <w:p w:rsidR="00A97472" w:rsidRDefault="00A97472" w:rsidP="00A60AC9">
            <w:pPr>
              <w:pStyle w:val="Odstavecseseznamem"/>
              <w:numPr>
                <w:ilvl w:val="0"/>
                <w:numId w:val="25"/>
              </w:numPr>
            </w:pPr>
            <w:r>
              <w:t>Malé množství sběrných dvorů pro ukládání běžně netříděných odpadů</w:t>
            </w:r>
          </w:p>
          <w:p w:rsidR="00332EBE" w:rsidRDefault="00A97472" w:rsidP="00A60AC9">
            <w:pPr>
              <w:pStyle w:val="Odstavecseseznamem"/>
              <w:numPr>
                <w:ilvl w:val="0"/>
                <w:numId w:val="25"/>
              </w:numPr>
            </w:pPr>
            <w:r>
              <w:t>Lokální ekologick</w:t>
            </w:r>
            <w:r w:rsidR="004E5862">
              <w:t>é zátěže.</w:t>
            </w:r>
          </w:p>
        </w:tc>
      </w:tr>
      <w:tr w:rsidR="00332EBE" w:rsidTr="00942427">
        <w:trPr>
          <w:cantSplit/>
        </w:trPr>
        <w:tc>
          <w:tcPr>
            <w:tcW w:w="4606" w:type="dxa"/>
            <w:shd w:val="clear" w:color="auto" w:fill="B8CCE4" w:themeFill="accent1" w:themeFillTint="66"/>
          </w:tcPr>
          <w:p w:rsidR="00332EBE" w:rsidRPr="000F7E1C" w:rsidRDefault="00332EBE" w:rsidP="00942427">
            <w:pPr>
              <w:rPr>
                <w:b/>
              </w:rPr>
            </w:pPr>
            <w:r w:rsidRPr="000F7E1C">
              <w:rPr>
                <w:b/>
              </w:rPr>
              <w:t>O „Příležitosti“</w:t>
            </w:r>
          </w:p>
        </w:tc>
        <w:tc>
          <w:tcPr>
            <w:tcW w:w="4606" w:type="dxa"/>
            <w:shd w:val="clear" w:color="auto" w:fill="E5B8B7" w:themeFill="accent2" w:themeFillTint="66"/>
          </w:tcPr>
          <w:p w:rsidR="00332EBE" w:rsidRPr="000F7E1C" w:rsidRDefault="00332EBE" w:rsidP="00942427">
            <w:pPr>
              <w:rPr>
                <w:b/>
              </w:rPr>
            </w:pPr>
            <w:r w:rsidRPr="000F7E1C">
              <w:rPr>
                <w:b/>
              </w:rPr>
              <w:t>T „Hrozby“</w:t>
            </w:r>
          </w:p>
        </w:tc>
      </w:tr>
      <w:tr w:rsidR="00332EBE" w:rsidTr="00942427">
        <w:trPr>
          <w:cantSplit/>
          <w:trHeight w:val="2829"/>
        </w:trPr>
        <w:tc>
          <w:tcPr>
            <w:tcW w:w="4606" w:type="dxa"/>
            <w:shd w:val="clear" w:color="auto" w:fill="DBE5F1" w:themeFill="accent1" w:themeFillTint="33"/>
          </w:tcPr>
          <w:p w:rsidR="00332EBE" w:rsidRDefault="00A97472" w:rsidP="00A60AC9">
            <w:pPr>
              <w:pStyle w:val="Odstavecseseznamem"/>
              <w:numPr>
                <w:ilvl w:val="0"/>
                <w:numId w:val="27"/>
              </w:numPr>
            </w:pPr>
            <w:r>
              <w:t>Možnost finančního efektu z využití tříděných odpadů obcemi</w:t>
            </w:r>
          </w:p>
          <w:p w:rsidR="00A97472" w:rsidRDefault="00A97472" w:rsidP="00A60AC9">
            <w:pPr>
              <w:pStyle w:val="Odstavecseseznamem"/>
              <w:numPr>
                <w:ilvl w:val="0"/>
                <w:numId w:val="27"/>
              </w:numPr>
            </w:pPr>
            <w:r>
              <w:t>Nárůst třídění odpadů a prostor k jeho dalšímu zvyšování</w:t>
            </w:r>
          </w:p>
        </w:tc>
        <w:tc>
          <w:tcPr>
            <w:tcW w:w="4606" w:type="dxa"/>
            <w:shd w:val="clear" w:color="auto" w:fill="F2DBDB" w:themeFill="accent2" w:themeFillTint="33"/>
          </w:tcPr>
          <w:p w:rsidR="00332EBE" w:rsidRDefault="00A97472" w:rsidP="00A60AC9">
            <w:pPr>
              <w:pStyle w:val="Odstavecseseznamem"/>
              <w:numPr>
                <w:ilvl w:val="0"/>
                <w:numId w:val="27"/>
              </w:numPr>
            </w:pPr>
            <w:r>
              <w:t>Hrozba zvyšování poplatků za svoz komunálního odpadu</w:t>
            </w:r>
          </w:p>
          <w:p w:rsidR="00A97472" w:rsidRDefault="00A97472" w:rsidP="00A60AC9">
            <w:pPr>
              <w:pStyle w:val="Odstavecseseznamem"/>
              <w:numPr>
                <w:ilvl w:val="0"/>
                <w:numId w:val="27"/>
              </w:numPr>
            </w:pPr>
            <w:r>
              <w:t>Následky nevhodného nakládání s odpady na životním prostředí</w:t>
            </w:r>
          </w:p>
        </w:tc>
      </w:tr>
    </w:tbl>
    <w:p w:rsidR="00332EBE" w:rsidRPr="00332EBE" w:rsidRDefault="00332EBE" w:rsidP="00332EBE"/>
    <w:p w:rsidR="00332EBE" w:rsidRDefault="00332EBE" w:rsidP="00332EBE">
      <w:pPr>
        <w:pStyle w:val="Nadpis5"/>
      </w:pPr>
      <w:r>
        <w:t>Opatření</w:t>
      </w:r>
    </w:p>
    <w:p w:rsidR="00A97472" w:rsidRDefault="003E6740" w:rsidP="00A60AC9">
      <w:pPr>
        <w:pStyle w:val="Odstavecseseznamem"/>
        <w:numPr>
          <w:ilvl w:val="0"/>
          <w:numId w:val="28"/>
        </w:numPr>
      </w:pPr>
      <w:r>
        <w:t>Informovanost – MAS Litomyšlsko o.p.s i subjekty v regionu budou podporovat informovanost obyvatelstva v oblasti nakládání s odpady a související legislativy.</w:t>
      </w:r>
    </w:p>
    <w:p w:rsidR="009A71C2" w:rsidRDefault="003E6740" w:rsidP="00A60AC9">
      <w:pPr>
        <w:pStyle w:val="Odstavecseseznamem"/>
        <w:numPr>
          <w:ilvl w:val="0"/>
          <w:numId w:val="28"/>
        </w:numPr>
      </w:pPr>
      <w:r>
        <w:t>Usnadnění vhodného nakládání s odpady občanům - MAS Litomyšlsko o.p.s i subjekty v regionu budou podporovat  a realizovat projekty, které usnadní občanům vhodné nakládání s odpady a jejich následné surovinové nebo materiálové využití. Vhodným způsobem je budování sběrných dvorů (případně umisťování vhodných nádob) pro bioodpad, elektroodpad, nebezpečný odpad apod.</w:t>
      </w:r>
    </w:p>
    <w:p w:rsidR="009A71C2" w:rsidRDefault="009A71C2" w:rsidP="00A97472">
      <w:r>
        <w:t>Očekávané efekty uvedených opatření:</w:t>
      </w:r>
    </w:p>
    <w:p w:rsidR="003E6740" w:rsidRDefault="009A71C2" w:rsidP="00A97472">
      <w:r>
        <w:t>Separace odpadů může</w:t>
      </w:r>
      <w:r w:rsidR="003E6740">
        <w:t xml:space="preserve"> obcím umožnit získání finančních prostředků prodejem separovaného odpad, čímž může být kompenzován případný nárůst nákladů na svou netříděného odpadu. Vyšší míra ukládání separovaného odpadu do sběrných dvorů sníží </w:t>
      </w:r>
      <w:r w:rsidR="003E6740">
        <w:lastRenderedPageBreak/>
        <w:t>množství netříděného odpadu a tím náklady na jeho svoz. Dalším efektem je přínos pro životní prostředí, a to eliminací ukládání odpadů v krajině, vhazování nebezpečného odpadu do směsného odpadu apod.</w:t>
      </w:r>
    </w:p>
    <w:p w:rsidR="000140CB" w:rsidRDefault="000140CB" w:rsidP="000140CB">
      <w:r>
        <w:t>Pozn: V této časti jsou využity informace z dokumentu</w:t>
      </w:r>
      <w:r w:rsidRPr="000140CB">
        <w:t xml:space="preserve"> </w:t>
      </w:r>
      <w:r>
        <w:t>Strategie území správního obvodu ORP Litomyšl v oblasti předškolní výchovy a základního školství, sociálních služeb, odpadového hospodářství a cestovní ruch.</w:t>
      </w:r>
    </w:p>
    <w:p w:rsidR="000F7E1C" w:rsidRDefault="00120802" w:rsidP="009F4D7F">
      <w:pPr>
        <w:pStyle w:val="Nadpis3"/>
      </w:pPr>
      <w:bookmarkStart w:id="27" w:name="_Toc430006501"/>
      <w:r>
        <w:t>Život v obcích</w:t>
      </w:r>
      <w:bookmarkEnd w:id="27"/>
    </w:p>
    <w:p w:rsidR="00F1648B" w:rsidRPr="00F1648B" w:rsidRDefault="00F1648B" w:rsidP="00F1648B">
      <w:r>
        <w:t>Jedním ze zásadních faktorů pro udržení zejména mladších skupin obyvatelstva ve vesnickém regionu je vedle dostatečné a kvalitní nabídky pracovních příležitostí také možnost volnočasových aktivit a různých druhů vyžití.</w:t>
      </w:r>
    </w:p>
    <w:p w:rsidR="00C412A1" w:rsidRDefault="00AE1D18" w:rsidP="00C412A1">
      <w:pPr>
        <w:pStyle w:val="Nadpis4"/>
      </w:pPr>
      <w:r>
        <w:t>Volnočasové aktivity</w:t>
      </w:r>
    </w:p>
    <w:p w:rsidR="00AE1D18" w:rsidRPr="00AE1D18" w:rsidRDefault="00AE1D18" w:rsidP="00AE1D18">
      <w:pPr>
        <w:pStyle w:val="Nadpis5"/>
      </w:pPr>
      <w:r>
        <w:t>Spolky</w:t>
      </w:r>
    </w:p>
    <w:p w:rsidR="00CF04EE" w:rsidRDefault="00F1648B" w:rsidP="00CF04EE">
      <w:r>
        <w:t xml:space="preserve">V regionu působí více druhů spolků nabízejících odlišné možnosti. </w:t>
      </w:r>
    </w:p>
    <w:p w:rsidR="00F1648B" w:rsidRDefault="00F1648B" w:rsidP="00CF04EE">
      <w:r>
        <w:t>Pro rodiny s dětmi jsou zásadní například rodinná centra, kter</w:t>
      </w:r>
      <w:r w:rsidR="00E63966">
        <w:t>á</w:t>
      </w:r>
      <w:r>
        <w:t xml:space="preserve"> v regionu fungují  a mají také vliv na skloubení pracovního a rodinného života. Taková centra jsou v regionu k dispozici ve Vysokém Mýtě, v Litomyšli a v Proseči u Skutče. Další možnosti skloubení práce a rodiny jsou k dispozici v </w:t>
      </w:r>
      <w:r w:rsidRPr="00582A0F">
        <w:t xml:space="preserve">kapitole </w:t>
      </w:r>
      <w:r w:rsidR="006649F6" w:rsidRPr="00582A0F">
        <w:t>2.1.8 Vzdělávání a školství</w:t>
      </w:r>
      <w:r w:rsidRPr="00582A0F">
        <w:t>.</w:t>
      </w:r>
    </w:p>
    <w:p w:rsidR="002D6B2C" w:rsidRDefault="002D6B2C" w:rsidP="00CF04EE">
      <w:r>
        <w:t xml:space="preserve">V regionu venkovského charakteru, jako je právě území MAS Litomyšlsko se větší míře uplatňují spíše </w:t>
      </w:r>
      <w:r w:rsidR="00E63966">
        <w:t>spolky jiného typu</w:t>
      </w:r>
      <w:r>
        <w:t>.</w:t>
      </w:r>
    </w:p>
    <w:p w:rsidR="002D6B2C" w:rsidRDefault="002D6B2C" w:rsidP="00A60AC9">
      <w:pPr>
        <w:pStyle w:val="Odstavecseseznamem"/>
        <w:numPr>
          <w:ilvl w:val="0"/>
          <w:numId w:val="39"/>
        </w:numPr>
      </w:pPr>
      <w:r>
        <w:t>SDH</w:t>
      </w:r>
      <w:r w:rsidR="008071F5">
        <w:rPr>
          <w:rStyle w:val="Znakapoznpodarou"/>
        </w:rPr>
        <w:footnoteReference w:id="14"/>
      </w:r>
      <w:r>
        <w:t xml:space="preserve"> – fungují v různé míře ve většině obcí v regionu. </w:t>
      </w:r>
    </w:p>
    <w:p w:rsidR="002D6B2C" w:rsidRDefault="002D6B2C" w:rsidP="00A60AC9">
      <w:pPr>
        <w:pStyle w:val="Odstavecseseznamem"/>
        <w:numPr>
          <w:ilvl w:val="0"/>
          <w:numId w:val="39"/>
        </w:numPr>
      </w:pPr>
      <w:r>
        <w:t>Chovatelské a pěstitelské spolky.</w:t>
      </w:r>
    </w:p>
    <w:p w:rsidR="002D6B2C" w:rsidRDefault="002D6B2C" w:rsidP="00A60AC9">
      <w:pPr>
        <w:pStyle w:val="Odstavecseseznamem"/>
        <w:numPr>
          <w:ilvl w:val="0"/>
          <w:numId w:val="39"/>
        </w:numPr>
      </w:pPr>
      <w:r>
        <w:t>Spolky s kulturním zaměřením.</w:t>
      </w:r>
    </w:p>
    <w:p w:rsidR="002D6B2C" w:rsidRDefault="002D6B2C" w:rsidP="00A60AC9">
      <w:pPr>
        <w:pStyle w:val="Odstavecseseznamem"/>
        <w:numPr>
          <w:ilvl w:val="0"/>
          <w:numId w:val="39"/>
        </w:numPr>
      </w:pPr>
      <w:r>
        <w:t>Sportovní spolky – viz níže.</w:t>
      </w:r>
    </w:p>
    <w:p w:rsidR="002D6B2C" w:rsidRDefault="00132EED" w:rsidP="00CF04EE">
      <w:r>
        <w:lastRenderedPageBreak/>
        <w:t>Pohled občanů</w:t>
      </w:r>
      <w:r w:rsidR="002D6B2C">
        <w:t xml:space="preserve"> znázorněný níže zobrazeným grafem však naznačuje vyšší poptávku po spolkových a sportovních činnostech, než je současná nabídka. Celých 32 % respondentů hodnotí tuto nabídku jako nedostatečnou nebo spíše nedostatečnou. Proto bude podpora spolků a komunitního života jednou z priorit pro další období.</w:t>
      </w:r>
    </w:p>
    <w:p w:rsidR="00132EED" w:rsidRPr="00CF04EE" w:rsidRDefault="00132EED" w:rsidP="00582A0F">
      <w:pPr>
        <w:jc w:val="center"/>
      </w:pPr>
      <w:r w:rsidRPr="00132EED">
        <w:rPr>
          <w:noProof/>
          <w:lang w:eastAsia="cs-CZ"/>
        </w:rPr>
        <w:drawing>
          <wp:inline distT="0" distB="0" distL="0" distR="0">
            <wp:extent cx="4572000" cy="2743200"/>
            <wp:effectExtent l="19050" t="0" r="19050" b="0"/>
            <wp:docPr id="40"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12A1" w:rsidRDefault="00C412A1" w:rsidP="00AE1D18">
      <w:pPr>
        <w:pStyle w:val="Nadpis5"/>
      </w:pPr>
      <w:r>
        <w:t>Kultura a kulturní vybavenost</w:t>
      </w:r>
    </w:p>
    <w:p w:rsidR="00CF04EE" w:rsidRDefault="003B71B7" w:rsidP="00CF04EE">
      <w:r>
        <w:t>Obce v regionu včetně jejich obyvatel a místních aktérů se velmi intenzivně snaží o komunitní a kulturní život. Nabídka některých typů kulturního vyžití je tak dostatečná, u jiných typů z různých důvod</w:t>
      </w:r>
      <w:r w:rsidR="00E63966">
        <w:t>ů</w:t>
      </w:r>
      <w:r>
        <w:t xml:space="preserve"> nedosahuje poptávky.</w:t>
      </w:r>
    </w:p>
    <w:p w:rsidR="00E71CEA" w:rsidRDefault="00E71CEA" w:rsidP="00CF04EE">
      <w:r>
        <w:t>Jako ve všech čá</w:t>
      </w:r>
      <w:r w:rsidR="006E6927">
        <w:t>stech strategického dokumentu i</w:t>
      </w:r>
      <w:r>
        <w:t xml:space="preserve"> zde jsou „opomíjena</w:t>
      </w:r>
      <w:r w:rsidR="0088171F">
        <w:t>“</w:t>
      </w:r>
      <w:r>
        <w:t xml:space="preserve"> města Vysoké Mýto a Litomyšl, která </w:t>
      </w:r>
      <w:r w:rsidR="0088171F">
        <w:t>jsou od zbytku regionu dost odlišná a také dostupnost veškerých služeb a vyžití je zde dostatečná.</w:t>
      </w:r>
    </w:p>
    <w:p w:rsidR="003B71B7" w:rsidRDefault="003B71B7" w:rsidP="00CF04EE">
      <w:r>
        <w:t>Pro potřeby této části jsou kulturní akce v regionu rozděleny podle typu a cílových skupin do několika oblastí.</w:t>
      </w:r>
    </w:p>
    <w:p w:rsidR="003B71B7" w:rsidRDefault="003B71B7" w:rsidP="00A60AC9">
      <w:pPr>
        <w:pStyle w:val="Odstavecseseznamem"/>
        <w:numPr>
          <w:ilvl w:val="0"/>
          <w:numId w:val="40"/>
        </w:numPr>
      </w:pPr>
      <w:r>
        <w:t>Plesy.</w:t>
      </w:r>
    </w:p>
    <w:p w:rsidR="003B71B7" w:rsidRDefault="003B71B7" w:rsidP="003B71B7">
      <w:pPr>
        <w:pStyle w:val="Odstavecseseznamem"/>
        <w:ind w:left="720"/>
      </w:pPr>
      <w:r>
        <w:t>Specifické sezónní akce pořádané převážně spolky působícími v obci. Pravidelně jsou pořádány přibližně ve třetině regionu a mnohdy vícekrát za sezónu.</w:t>
      </w:r>
    </w:p>
    <w:p w:rsidR="003B71B7" w:rsidRDefault="003B71B7" w:rsidP="00A60AC9">
      <w:pPr>
        <w:pStyle w:val="Odstavecseseznamem"/>
        <w:numPr>
          <w:ilvl w:val="0"/>
          <w:numId w:val="40"/>
        </w:numPr>
      </w:pPr>
      <w:r>
        <w:t>Akce s tanečním vyžitím.</w:t>
      </w:r>
    </w:p>
    <w:p w:rsidR="003B71B7" w:rsidRDefault="003B71B7" w:rsidP="003B71B7">
      <w:pPr>
        <w:pStyle w:val="Odstavecseseznamem"/>
        <w:ind w:left="720"/>
      </w:pPr>
      <w:r>
        <w:lastRenderedPageBreak/>
        <w:t xml:space="preserve">Cílovou skupinou oproti plesům jsou poněkud mladší lidé. Rovněž se zde neprojevuje taková sezónnost. </w:t>
      </w:r>
      <w:r w:rsidR="002E2DD7">
        <w:t>Tyto akce jsou  pořádány přibližně ve stejných obcích jako plesy, ale často s vyšší četností během roku.</w:t>
      </w:r>
    </w:p>
    <w:p w:rsidR="003B71B7" w:rsidRDefault="003B71B7" w:rsidP="00A60AC9">
      <w:pPr>
        <w:pStyle w:val="Odstavecseseznamem"/>
        <w:numPr>
          <w:ilvl w:val="0"/>
          <w:numId w:val="40"/>
        </w:numPr>
      </w:pPr>
      <w:r>
        <w:t xml:space="preserve">Společenské akce </w:t>
      </w:r>
      <w:r w:rsidR="002E2DD7">
        <w:t>ostatní</w:t>
      </w:r>
      <w:r>
        <w:t>.</w:t>
      </w:r>
    </w:p>
    <w:p w:rsidR="002E2DD7" w:rsidRDefault="002E2DD7" w:rsidP="002E2DD7">
      <w:pPr>
        <w:pStyle w:val="Odstavecseseznamem"/>
        <w:ind w:left="720"/>
      </w:pPr>
      <w:r>
        <w:t xml:space="preserve">Zahrnují různé aktivity komunitního charakteru pro různé skupiny obyvatel. Zde jsou zahrnuty akce typu </w:t>
      </w:r>
      <w:r w:rsidR="00903DC0">
        <w:t>setkávání seniorů, soutěže mimo sportovní akce, tematická setkávání, společná „pálení čarodějnic“... Podobné akce se konají minimálně jednou do roka téměř ve všech obcích.</w:t>
      </w:r>
    </w:p>
    <w:p w:rsidR="003B71B7" w:rsidRDefault="003B71B7" w:rsidP="00A60AC9">
      <w:pPr>
        <w:pStyle w:val="Odstavecseseznamem"/>
        <w:numPr>
          <w:ilvl w:val="0"/>
          <w:numId w:val="40"/>
        </w:numPr>
      </w:pPr>
      <w:r>
        <w:t>Akce pro děti a mládež.</w:t>
      </w:r>
      <w:r w:rsidR="00903DC0">
        <w:t xml:space="preserve"> Tímto způsoben se spolky i samotné obce snaží věnovat nejmladším generacím a suplovat tak nízkou úroveň služeb pro rodiny s dětmi. S výjimkou obcí, kde je minimum malých dětí pořádají dětské dny a podobné akce téměř všechny obce.</w:t>
      </w:r>
    </w:p>
    <w:p w:rsidR="003B71B7" w:rsidRDefault="003B71B7" w:rsidP="00A60AC9">
      <w:pPr>
        <w:pStyle w:val="Odstavecseseznamem"/>
        <w:numPr>
          <w:ilvl w:val="0"/>
          <w:numId w:val="40"/>
        </w:numPr>
      </w:pPr>
      <w:r>
        <w:t>Sportovní akce.</w:t>
      </w:r>
    </w:p>
    <w:p w:rsidR="007A6869" w:rsidRDefault="007A6869" w:rsidP="007A6869">
      <w:pPr>
        <w:ind w:left="708"/>
      </w:pPr>
      <w:r>
        <w:t>Sportovní akce se konají v obcích s aktivními sportovně založenými spolky. Jedná se zejména o sbory dobrovolných hasičů pořádající soutěže v požárním sportu, fotbalové oddíly větších měst a obcí, akce tělovýchovných jednot jako Sokol a Orel, cyklistické závody, jednorázové sportovní akce pořádané spolky obcemi nebo jen aktivními obyvateli (méně populární sporty a specifické soutěže – nohejbal, badminton, kombinace sportovních disciplín...).</w:t>
      </w:r>
    </w:p>
    <w:p w:rsidR="007A6869" w:rsidRDefault="007A6869" w:rsidP="007A6869">
      <w:pPr>
        <w:ind w:left="708"/>
      </w:pPr>
      <w:r>
        <w:t>Nějaká sportovní akce se koná minimálně jednou ročně ve většině obcí.</w:t>
      </w:r>
    </w:p>
    <w:p w:rsidR="003B71B7" w:rsidRDefault="003B71B7" w:rsidP="00A60AC9">
      <w:pPr>
        <w:pStyle w:val="Odstavecseseznamem"/>
        <w:numPr>
          <w:ilvl w:val="0"/>
          <w:numId w:val="40"/>
        </w:numPr>
      </w:pPr>
      <w:r>
        <w:t>Výstavy.</w:t>
      </w:r>
    </w:p>
    <w:p w:rsidR="00E71CEA" w:rsidRDefault="00E71CEA" w:rsidP="00E71CEA">
      <w:pPr>
        <w:pStyle w:val="Odstavecseseznamem"/>
        <w:ind w:left="720"/>
      </w:pPr>
      <w:r>
        <w:t>Výstavy jsou relativně často pořádány soukromými subjekty ve větších městech. V obcích přibližně od 500 obyvatel bývají pořádány například vánoční výstavy. V opravdu malých obcích tyto aktivity prakticky nejsou.</w:t>
      </w:r>
    </w:p>
    <w:p w:rsidR="003B71B7" w:rsidRDefault="003B71B7" w:rsidP="00A60AC9">
      <w:pPr>
        <w:pStyle w:val="Odstavecseseznamem"/>
        <w:numPr>
          <w:ilvl w:val="0"/>
          <w:numId w:val="40"/>
        </w:numPr>
      </w:pPr>
      <w:r>
        <w:t>Vzdělávací akce.</w:t>
      </w:r>
    </w:p>
    <w:p w:rsidR="00E71CEA" w:rsidRDefault="00E71CEA" w:rsidP="00E71CEA">
      <w:pPr>
        <w:pStyle w:val="Odstavecseseznamem"/>
        <w:ind w:left="720"/>
      </w:pPr>
      <w:r>
        <w:t>Vzdělávacími akcemi jsou myšleny zejména jednorázové semináře nebo seriály seminářů, přednášky apod. Tyto aktivity se omezují pouze na několik největších obcí v regionu.</w:t>
      </w:r>
    </w:p>
    <w:p w:rsidR="003B71B7" w:rsidRDefault="00E71CEA" w:rsidP="00A60AC9">
      <w:pPr>
        <w:pStyle w:val="Odstavecseseznamem"/>
        <w:numPr>
          <w:ilvl w:val="0"/>
          <w:numId w:val="40"/>
        </w:numPr>
      </w:pPr>
      <w:r>
        <w:lastRenderedPageBreak/>
        <w:t>Hudební akce</w:t>
      </w:r>
      <w:r w:rsidR="003B71B7">
        <w:t>.</w:t>
      </w:r>
    </w:p>
    <w:p w:rsidR="00E71CEA" w:rsidRDefault="00E71CEA" w:rsidP="00E71CEA">
      <w:pPr>
        <w:pStyle w:val="Odstavecseseznamem"/>
        <w:ind w:left="720"/>
      </w:pPr>
      <w:r>
        <w:t xml:space="preserve">Jde o kulturní akce jednorázové i hudební festivaly. Vedle specifického a obecně známého festivalu Smetanova Litomyšl je v regionu pořádáno ještě několik akcí (v řádu jednotek) v řádu jednotek, které však jsou zaměřeny převážně na regionální návštěvníky a nabízejí poněkud populárnější repertoár. </w:t>
      </w:r>
    </w:p>
    <w:p w:rsidR="003B71B7" w:rsidRDefault="003B71B7" w:rsidP="00A60AC9">
      <w:pPr>
        <w:pStyle w:val="Odstavecseseznamem"/>
        <w:numPr>
          <w:ilvl w:val="0"/>
          <w:numId w:val="40"/>
        </w:numPr>
      </w:pPr>
      <w:r>
        <w:t>Kino.</w:t>
      </w:r>
    </w:p>
    <w:p w:rsidR="0088171F" w:rsidRDefault="0088171F" w:rsidP="0088171F">
      <w:pPr>
        <w:pStyle w:val="Odstavecseseznamem"/>
        <w:ind w:left="720"/>
      </w:pPr>
      <w:r>
        <w:t xml:space="preserve">Kino nebo letní kino funguje pravidelně jen ve městech a </w:t>
      </w:r>
      <w:r w:rsidR="00ED6DFA">
        <w:t>některých větších obcích</w:t>
      </w:r>
      <w:r>
        <w:t>. Pravidelné filmové projekci v menších obcích brání nízká poptávka, která následuje po prvotní vlně zájmu obyvatel (podle zkušeností regionálních aktérů).</w:t>
      </w:r>
    </w:p>
    <w:p w:rsidR="003B71B7" w:rsidRDefault="003B71B7" w:rsidP="00A60AC9">
      <w:pPr>
        <w:pStyle w:val="Odstavecseseznamem"/>
        <w:numPr>
          <w:ilvl w:val="0"/>
          <w:numId w:val="40"/>
        </w:numPr>
      </w:pPr>
      <w:r>
        <w:t>Divadlo.</w:t>
      </w:r>
    </w:p>
    <w:p w:rsidR="003B71B7" w:rsidRPr="00CF04EE" w:rsidRDefault="0088171F" w:rsidP="0088171F">
      <w:pPr>
        <w:ind w:left="708"/>
      </w:pPr>
      <w:r>
        <w:t>Divadelní činnost se v regionu omezuje na několik ochotnických souborů, které zpravidla nacvičí představení ku nějaké významné události v obci, které je  případě úspěchu opakováno nebo odehráno v okolních obcích. Obecně je ale v tomto směru aktivita v regionu nízká. Vyšší aktivitu i mimo region vyvíjejí spolky ve městech Vysoké Mýto a Litomyšl.</w:t>
      </w:r>
    </w:p>
    <w:p w:rsidR="00923C3D" w:rsidRDefault="0088171F" w:rsidP="006170C3">
      <w:r>
        <w:t xml:space="preserve">Pokud jde o infrastrukturu vhodnou pro </w:t>
      </w:r>
      <w:r w:rsidRPr="00C07D53">
        <w:t>pořádání kulturních akcí</w:t>
      </w:r>
      <w:r w:rsidR="00C07D53" w:rsidRPr="00C07D53">
        <w:t xml:space="preserve"> je</w:t>
      </w:r>
      <w:r w:rsidR="00C07D53">
        <w:t xml:space="preserve"> v obcích co do četnosti k dispozici přiměřeně. Komunitní život obcí se také přizpůsobil místním podmínkám, které není možné jednoduše měnit (např. postavit nový kulturní dům).</w:t>
      </w:r>
    </w:p>
    <w:p w:rsidR="00C07D53" w:rsidRDefault="00C07D53" w:rsidP="006170C3">
      <w:r>
        <w:t>V řadě obcí ale vzniká potřeba rekonstrukcí kulturních zařízení a společenských prostor nebo adaptace existujících prostor ke společenskému využití. Stávající objekty jsou převážně staršího data výstavby a často se blíží hranici využitelnosti ke společenským akcím. Je to patrné zejména z hlediska tepelně izolačních vlastností, ze stavu sociálních zařízení a některých dalších prvků, které jsou jakýmsi barometrem stavu zařízení.</w:t>
      </w:r>
    </w:p>
    <w:p w:rsidR="0088171F" w:rsidRDefault="0088171F" w:rsidP="006170C3">
      <w:r>
        <w:t xml:space="preserve">Infrastruktura je ale jen nutným předpokladem pro kulturní život. Nezbytnou součástí je správa a provozování daných zařízení a komunitní život, bez kterého by zůstala nákladná infrastruktura nevyužita. </w:t>
      </w:r>
      <w:r w:rsidR="00C07D53">
        <w:t>V regionu naštěstí funguje komunitní sounáležitost na dobré úrovni a aktivita občanů nabízí dobré předpoklady pro dobrý kulturní život.</w:t>
      </w:r>
    </w:p>
    <w:p w:rsidR="008E7993" w:rsidRDefault="008E7993" w:rsidP="006170C3">
      <w:r>
        <w:lastRenderedPageBreak/>
        <w:t xml:space="preserve">Z hlediska regionálních aktérů zjištěného dotazníkovým šetřením vyplývá potřeba vyššího kulturního vyžití. </w:t>
      </w:r>
      <w:r w:rsidR="00E31A77">
        <w:t>Je ale třeba kulturní aktivity pojmout selektivně, protože jejich nabídka je v závislosti na typu velmi odlišná (viz výše).</w:t>
      </w:r>
    </w:p>
    <w:p w:rsidR="008E7993" w:rsidRDefault="008E7993" w:rsidP="008E7993">
      <w:r w:rsidRPr="00EA5D8B">
        <w:rPr>
          <w:noProof/>
          <w:lang w:eastAsia="cs-CZ"/>
        </w:rPr>
        <w:drawing>
          <wp:inline distT="0" distB="0" distL="0" distR="0">
            <wp:extent cx="2847975" cy="2009775"/>
            <wp:effectExtent l="19050" t="0" r="9525" b="0"/>
            <wp:docPr id="106"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32EED">
        <w:rPr>
          <w:noProof/>
          <w:lang w:eastAsia="cs-CZ"/>
        </w:rPr>
        <w:drawing>
          <wp:inline distT="0" distB="0" distL="0" distR="0">
            <wp:extent cx="2847975" cy="2009775"/>
            <wp:effectExtent l="19050" t="0" r="9525" b="0"/>
            <wp:docPr id="107"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E7993" w:rsidRDefault="008E7993" w:rsidP="008E7993">
      <w:r>
        <w:t xml:space="preserve">Pohled </w:t>
      </w:r>
      <w:r w:rsidR="00582A0F">
        <w:t>zástupců obcí</w:t>
      </w:r>
      <w:r>
        <w:t xml:space="preserve"> vlevo, obyvatel vpravo</w:t>
      </w:r>
    </w:p>
    <w:p w:rsidR="008E7993" w:rsidRPr="006170C3" w:rsidRDefault="00187BDB" w:rsidP="006170C3">
      <w:r>
        <w:t>Obecně lze říci, že četnost kulturních aktivit v obcích je přímo úměrná jejich velikosti.</w:t>
      </w:r>
    </w:p>
    <w:p w:rsidR="00C412A1" w:rsidRDefault="00C412A1" w:rsidP="00AE1D18">
      <w:pPr>
        <w:pStyle w:val="Nadpis5"/>
      </w:pPr>
      <w:r>
        <w:t>Sport a sportovní vybavenost</w:t>
      </w:r>
    </w:p>
    <w:p w:rsidR="0032654D" w:rsidRPr="0032654D" w:rsidRDefault="0032654D" w:rsidP="00CF04EE">
      <w:pPr>
        <w:rPr>
          <w:b/>
        </w:rPr>
      </w:pPr>
      <w:r w:rsidRPr="0032654D">
        <w:rPr>
          <w:b/>
        </w:rPr>
        <w:t>Infrastruktura pro sport</w:t>
      </w:r>
    </w:p>
    <w:p w:rsidR="0032654D" w:rsidRDefault="0032654D" w:rsidP="00A60AC9">
      <w:pPr>
        <w:pStyle w:val="Odstavecseseznamem"/>
        <w:numPr>
          <w:ilvl w:val="0"/>
          <w:numId w:val="40"/>
        </w:numPr>
      </w:pPr>
      <w:r>
        <w:t>Fotbalová hřiště – dostupnost ve městech a několika málo větších obcích (v řádu jednotek).</w:t>
      </w:r>
    </w:p>
    <w:p w:rsidR="005B46F5" w:rsidRDefault="005B46F5" w:rsidP="00A60AC9">
      <w:pPr>
        <w:pStyle w:val="Odstavecseseznamem"/>
        <w:numPr>
          <w:ilvl w:val="0"/>
          <w:numId w:val="40"/>
        </w:numPr>
      </w:pPr>
      <w:r>
        <w:t>Hasičská hřiště – ve všech obcích aktivně provozujících požární sport.</w:t>
      </w:r>
    </w:p>
    <w:p w:rsidR="0032654D" w:rsidRDefault="00B834B2" w:rsidP="00A60AC9">
      <w:pPr>
        <w:pStyle w:val="Odstavecseseznamem"/>
        <w:numPr>
          <w:ilvl w:val="0"/>
          <w:numId w:val="40"/>
        </w:numPr>
      </w:pPr>
      <w:r>
        <w:t>Zimní stadion</w:t>
      </w:r>
      <w:r w:rsidR="0032654D">
        <w:t xml:space="preserve"> –</w:t>
      </w:r>
      <w:r>
        <w:t xml:space="preserve"> Litomyšl</w:t>
      </w:r>
      <w:r w:rsidR="0032654D">
        <w:t>.</w:t>
      </w:r>
    </w:p>
    <w:p w:rsidR="0032654D" w:rsidRDefault="00B834B2" w:rsidP="00A60AC9">
      <w:pPr>
        <w:pStyle w:val="Odstavecseseznamem"/>
        <w:numPr>
          <w:ilvl w:val="0"/>
          <w:numId w:val="40"/>
        </w:numPr>
      </w:pPr>
      <w:r>
        <w:t>Plavecké bazény – zastřešené v Litomyšli a Vysokém Mýtě, otevřené rovněž. Koupaliště různé úrovně v několika obcích v řádu jednotek.</w:t>
      </w:r>
    </w:p>
    <w:p w:rsidR="00B834B2" w:rsidRDefault="00B834B2" w:rsidP="00A60AC9">
      <w:pPr>
        <w:pStyle w:val="Odstavecseseznamem"/>
        <w:numPr>
          <w:ilvl w:val="0"/>
          <w:numId w:val="40"/>
        </w:numPr>
      </w:pPr>
      <w:r>
        <w:t>Multifunkční sportovní haly – Vysoké Mýto, Litomyšl, Dolní Újezd, Sloup</w:t>
      </w:r>
      <w:r w:rsidR="005B46F5">
        <w:t>n</w:t>
      </w:r>
      <w:r>
        <w:t>ice, Lubná. V některých obcí</w:t>
      </w:r>
      <w:r w:rsidR="006E6927">
        <w:t>ch</w:t>
      </w:r>
      <w:r>
        <w:t xml:space="preserve"> lze omezeně využít společenské prostory.</w:t>
      </w:r>
    </w:p>
    <w:p w:rsidR="0032654D" w:rsidRDefault="0032654D" w:rsidP="00A60AC9">
      <w:pPr>
        <w:pStyle w:val="Odstavecseseznamem"/>
        <w:numPr>
          <w:ilvl w:val="0"/>
          <w:numId w:val="40"/>
        </w:numPr>
      </w:pPr>
      <w:r>
        <w:t xml:space="preserve">Multifunkční sportovní hřiště a areály </w:t>
      </w:r>
      <w:r w:rsidR="00B834B2">
        <w:t>–</w:t>
      </w:r>
      <w:r>
        <w:t xml:space="preserve"> </w:t>
      </w:r>
      <w:r w:rsidR="00B834B2">
        <w:t>Ve městech a některých obcích. V obcích však je úroveň sportovišť rozdílná (od nových areálů s umělými povrchy po zastaralá hřiště téměř nevyhovující danému účelu).</w:t>
      </w:r>
    </w:p>
    <w:p w:rsidR="00B834B2" w:rsidRDefault="00B834B2" w:rsidP="00A60AC9">
      <w:pPr>
        <w:pStyle w:val="Odstavecseseznamem"/>
        <w:numPr>
          <w:ilvl w:val="0"/>
          <w:numId w:val="40"/>
        </w:numPr>
      </w:pPr>
      <w:r>
        <w:t>V obci Osík funguje badmintonová hala a golfové hřiště.</w:t>
      </w:r>
    </w:p>
    <w:p w:rsidR="00C71376" w:rsidRDefault="00C71376" w:rsidP="00A60AC9">
      <w:pPr>
        <w:pStyle w:val="Odstavecseseznamem"/>
        <w:numPr>
          <w:ilvl w:val="0"/>
          <w:numId w:val="40"/>
        </w:numPr>
      </w:pPr>
      <w:r>
        <w:lastRenderedPageBreak/>
        <w:t>Atletika – V Litomyšli a Vysokém Mýtě jsou atletické stadiony, ve větších obcích jsou tyto možnosti také, avšak zpravidla při školách nebo v horších podmínkách.</w:t>
      </w:r>
    </w:p>
    <w:p w:rsidR="00C71376" w:rsidRDefault="00C71376" w:rsidP="00A60AC9">
      <w:pPr>
        <w:pStyle w:val="Odstavecseseznamem"/>
        <w:numPr>
          <w:ilvl w:val="0"/>
          <w:numId w:val="40"/>
        </w:numPr>
      </w:pPr>
      <w:r>
        <w:t>Pro zimní sporty jsou provozovány běžecké tratě. Sjezdové tratě v regionu nejsou.</w:t>
      </w:r>
    </w:p>
    <w:p w:rsidR="0032654D" w:rsidRDefault="0032654D" w:rsidP="00CF04EE">
      <w:pPr>
        <w:rPr>
          <w:b/>
        </w:rPr>
      </w:pPr>
      <w:r w:rsidRPr="0032654D">
        <w:rPr>
          <w:b/>
        </w:rPr>
        <w:t>Sportovní aktivity</w:t>
      </w:r>
    </w:p>
    <w:p w:rsidR="005B46F5" w:rsidRDefault="00C71376" w:rsidP="00CF04EE">
      <w:r w:rsidRPr="00C71376">
        <w:t>Individuálně organizovaným</w:t>
      </w:r>
      <w:r w:rsidR="005B46F5" w:rsidRPr="00C71376">
        <w:t xml:space="preserve"> sportovním aktivitám jsou ote</w:t>
      </w:r>
      <w:r w:rsidRPr="00C71376">
        <w:t>vřena obcemi provozovaná hřiště a sportovní haly, které jsou buď zpoplatněná nebo pro občany zdarma.</w:t>
      </w:r>
    </w:p>
    <w:p w:rsidR="00C71376" w:rsidRPr="00C71376" w:rsidRDefault="00C71376" w:rsidP="00CF04EE">
      <w:r>
        <w:t>Dále v regionu je dostupná řada spolkově organizovaných aktivit, kdy spolky většinou daná jednoúčelová sportoviště provozují. Využití takových sportovišť je podmíněné členstvím ve spolku nebo dohodou se spolkem. Jde zejména o spo</w:t>
      </w:r>
      <w:r w:rsidR="00911683">
        <w:t>rty jako Fotbal, lední hokej, badminton, golf.</w:t>
      </w:r>
    </w:p>
    <w:p w:rsidR="0032654D" w:rsidRDefault="00911683" w:rsidP="00CF04EE">
      <w:r>
        <w:t>Podle aktérů z území jsou poměrně značné rezervy v úrovni sportovního vyžití. Limity existují zejména v úrovni infrastruktury.</w:t>
      </w:r>
    </w:p>
    <w:p w:rsidR="00EA5D8B" w:rsidRDefault="00EA5D8B" w:rsidP="00CF04EE">
      <w:r w:rsidRPr="00EA5D8B">
        <w:rPr>
          <w:noProof/>
          <w:lang w:eastAsia="cs-CZ"/>
        </w:rPr>
        <w:drawing>
          <wp:inline distT="0" distB="0" distL="0" distR="0">
            <wp:extent cx="2847975" cy="1990725"/>
            <wp:effectExtent l="19050" t="0" r="9525" b="0"/>
            <wp:docPr id="19"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82265B" w:rsidRPr="0082265B">
        <w:rPr>
          <w:noProof/>
          <w:lang w:eastAsia="cs-CZ"/>
        </w:rPr>
        <w:drawing>
          <wp:inline distT="0" distB="0" distL="0" distR="0">
            <wp:extent cx="2838450" cy="1990725"/>
            <wp:effectExtent l="19050" t="0" r="19050" b="0"/>
            <wp:docPr id="109"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32EED" w:rsidRDefault="00132EED" w:rsidP="00CF04EE">
      <w:r>
        <w:t>Pohled</w:t>
      </w:r>
      <w:r w:rsidR="0082265B">
        <w:t xml:space="preserve"> starostů vlevo,</w:t>
      </w:r>
      <w:r>
        <w:t xml:space="preserve"> občanů</w:t>
      </w:r>
      <w:r w:rsidR="0082265B">
        <w:t xml:space="preserve"> vpravo</w:t>
      </w:r>
    </w:p>
    <w:p w:rsidR="00E642F2" w:rsidRDefault="00E642F2" w:rsidP="00CE436C">
      <w:pPr>
        <w:pStyle w:val="Nadpis5"/>
      </w:pPr>
      <w:r>
        <w:t>Další volnočasové aktivity</w:t>
      </w:r>
    </w:p>
    <w:p w:rsidR="00E642F2" w:rsidRPr="00EA5D8B" w:rsidRDefault="006D2ED8" w:rsidP="00E642F2">
      <w:r>
        <w:t>Nabídka dalších výše nepopsaných zájmových a volnočasových aktivit je monitorována opět z hlediska obcí, které mají nesrovnatelně jiné možnosti oproti větším městům.</w:t>
      </w:r>
    </w:p>
    <w:p w:rsidR="00E642F2" w:rsidRDefault="00E642F2" w:rsidP="00E642F2">
      <w:r w:rsidRPr="00EA5D8B">
        <w:rPr>
          <w:noProof/>
          <w:lang w:eastAsia="cs-CZ"/>
        </w:rPr>
        <w:lastRenderedPageBreak/>
        <w:drawing>
          <wp:inline distT="0" distB="0" distL="0" distR="0">
            <wp:extent cx="2828925" cy="1819275"/>
            <wp:effectExtent l="19050" t="0" r="9525" b="0"/>
            <wp:docPr id="91"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6D2ED8" w:rsidRPr="006D2ED8">
        <w:rPr>
          <w:noProof/>
          <w:lang w:eastAsia="cs-CZ"/>
        </w:rPr>
        <w:drawing>
          <wp:inline distT="0" distB="0" distL="0" distR="0">
            <wp:extent cx="2828925" cy="1828800"/>
            <wp:effectExtent l="19050" t="0" r="9525" b="0"/>
            <wp:docPr id="108"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642F2" w:rsidRDefault="00E642F2" w:rsidP="00E642F2">
      <w:r>
        <w:t>Pohled starostů</w:t>
      </w:r>
      <w:r w:rsidR="006D2ED8">
        <w:t xml:space="preserve"> vlevo, obyvatelé vpravo.</w:t>
      </w:r>
    </w:p>
    <w:p w:rsidR="00E642F2" w:rsidRDefault="006D2ED8" w:rsidP="00E642F2">
      <w:r>
        <w:t xml:space="preserve">Z výsledků dotazníkových šetření vyplývá velice vysoká nespokojenost ze strany </w:t>
      </w:r>
      <w:r w:rsidR="0082265B">
        <w:t>zástupců obcí. O něco méně pesimisticky se na tuto problematiku dívají občané. Diferenciace mezi názory může být způsobena informační převahou zástupců obcí, kteří si uvědomují potřebu investic do infrastruktury pro volný čas a podporu aktérů, k</w:t>
      </w:r>
      <w:r w:rsidR="003C6296">
        <w:t>teří volnočasové aktivity zajišť</w:t>
      </w:r>
      <w:r w:rsidR="0082265B">
        <w:t>ují.</w:t>
      </w:r>
    </w:p>
    <w:p w:rsidR="00CE436C" w:rsidRDefault="00CE436C" w:rsidP="00CE436C">
      <w:pPr>
        <w:pStyle w:val="Nadpis5"/>
      </w:pPr>
      <w:r>
        <w:t>Shrnutí informací o volnočasových aktivitách</w:t>
      </w:r>
    </w:p>
    <w:p w:rsidR="00911683" w:rsidRDefault="00911683" w:rsidP="0082265B">
      <w:r>
        <w:t xml:space="preserve">Zajištění jisté úrovně nabídky volnočasových, kulturních, spolkových a sportovních aktivit je </w:t>
      </w:r>
      <w:r w:rsidR="008B56E5">
        <w:t>nezbytným prvkem v udržení nebo zvýšení atraktivity venkovských oblasti pro dlouhodobý živo obyvatel.</w:t>
      </w:r>
    </w:p>
    <w:p w:rsidR="008B56E5" w:rsidRDefault="008B56E5" w:rsidP="0082265B">
      <w:r>
        <w:t>Tyto faktory rovněž působí jako</w:t>
      </w:r>
      <w:r w:rsidR="00865197">
        <w:t xml:space="preserve"> podpora zdravého životního stylu,</w:t>
      </w:r>
      <w:r>
        <w:t xml:space="preserve"> prevence </w:t>
      </w:r>
      <w:r w:rsidR="00865197">
        <w:t>civilizačních onemocnění a kriminality.</w:t>
      </w:r>
    </w:p>
    <w:tbl>
      <w:tblPr>
        <w:tblStyle w:val="Mkatabulky"/>
        <w:tblW w:w="0" w:type="auto"/>
        <w:tblLook w:val="04A0"/>
      </w:tblPr>
      <w:tblGrid>
        <w:gridCol w:w="4606"/>
        <w:gridCol w:w="4606"/>
      </w:tblGrid>
      <w:tr w:rsidR="00CE436C" w:rsidTr="002D6B2C">
        <w:trPr>
          <w:cantSplit/>
        </w:trPr>
        <w:tc>
          <w:tcPr>
            <w:tcW w:w="4606" w:type="dxa"/>
            <w:shd w:val="clear" w:color="auto" w:fill="D6E3BC" w:themeFill="accent3" w:themeFillTint="66"/>
          </w:tcPr>
          <w:p w:rsidR="00CE436C" w:rsidRPr="000F7E1C" w:rsidRDefault="00CE436C" w:rsidP="002D6B2C">
            <w:pPr>
              <w:rPr>
                <w:b/>
              </w:rPr>
            </w:pPr>
            <w:r w:rsidRPr="000F7E1C">
              <w:rPr>
                <w:b/>
              </w:rPr>
              <w:t>S „Silné stránky“</w:t>
            </w:r>
          </w:p>
        </w:tc>
        <w:tc>
          <w:tcPr>
            <w:tcW w:w="4606" w:type="dxa"/>
            <w:shd w:val="clear" w:color="auto" w:fill="FBD4B4" w:themeFill="accent6" w:themeFillTint="66"/>
          </w:tcPr>
          <w:p w:rsidR="00CE436C" w:rsidRPr="000F7E1C" w:rsidRDefault="00CE436C" w:rsidP="002D6B2C">
            <w:pPr>
              <w:rPr>
                <w:b/>
              </w:rPr>
            </w:pPr>
            <w:r w:rsidRPr="000F7E1C">
              <w:rPr>
                <w:b/>
              </w:rPr>
              <w:t>W „Slabé stránky“</w:t>
            </w:r>
          </w:p>
        </w:tc>
      </w:tr>
      <w:tr w:rsidR="00CE436C" w:rsidTr="002D6B2C">
        <w:trPr>
          <w:cantSplit/>
          <w:trHeight w:val="2309"/>
        </w:trPr>
        <w:tc>
          <w:tcPr>
            <w:tcW w:w="4606" w:type="dxa"/>
            <w:shd w:val="clear" w:color="auto" w:fill="EAF1DD" w:themeFill="accent3" w:themeFillTint="33"/>
          </w:tcPr>
          <w:p w:rsidR="00CE436C" w:rsidRDefault="0087764E" w:rsidP="00A60AC9">
            <w:pPr>
              <w:pStyle w:val="Odstavecseseznamem"/>
              <w:numPr>
                <w:ilvl w:val="0"/>
                <w:numId w:val="26"/>
              </w:numPr>
            </w:pPr>
            <w:r>
              <w:t>Komunitní život.</w:t>
            </w:r>
          </w:p>
          <w:p w:rsidR="00911683" w:rsidRDefault="00911683" w:rsidP="00A60AC9">
            <w:pPr>
              <w:pStyle w:val="Odstavecseseznamem"/>
              <w:numPr>
                <w:ilvl w:val="0"/>
                <w:numId w:val="26"/>
              </w:numPr>
            </w:pPr>
            <w:r>
              <w:t>Aktivita sportovních i jiných spolků.</w:t>
            </w:r>
          </w:p>
          <w:p w:rsidR="00CE436C" w:rsidRDefault="00CE436C" w:rsidP="002D6B2C"/>
        </w:tc>
        <w:tc>
          <w:tcPr>
            <w:tcW w:w="4606" w:type="dxa"/>
            <w:shd w:val="clear" w:color="auto" w:fill="FDE9D9" w:themeFill="accent6" w:themeFillTint="33"/>
          </w:tcPr>
          <w:p w:rsidR="00CE436C" w:rsidRDefault="00CE4D02" w:rsidP="00A60AC9">
            <w:pPr>
              <w:pStyle w:val="Odstavecseseznamem"/>
              <w:numPr>
                <w:ilvl w:val="0"/>
                <w:numId w:val="25"/>
              </w:numPr>
            </w:pPr>
            <w:r>
              <w:t>Nedostatek nebo špatný s</w:t>
            </w:r>
            <w:r w:rsidR="00E31A77">
              <w:t>tav společenských prostor.</w:t>
            </w:r>
          </w:p>
          <w:p w:rsidR="00911683" w:rsidRDefault="00911683" w:rsidP="00A60AC9">
            <w:pPr>
              <w:pStyle w:val="Odstavecseseznamem"/>
              <w:numPr>
                <w:ilvl w:val="0"/>
                <w:numId w:val="25"/>
              </w:numPr>
            </w:pPr>
            <w:r>
              <w:t>Stav sportovní infrastruktury.</w:t>
            </w:r>
          </w:p>
        </w:tc>
      </w:tr>
      <w:tr w:rsidR="00CE436C" w:rsidTr="002D6B2C">
        <w:trPr>
          <w:cantSplit/>
        </w:trPr>
        <w:tc>
          <w:tcPr>
            <w:tcW w:w="4606" w:type="dxa"/>
            <w:shd w:val="clear" w:color="auto" w:fill="B8CCE4" w:themeFill="accent1" w:themeFillTint="66"/>
          </w:tcPr>
          <w:p w:rsidR="00CE436C" w:rsidRPr="000F7E1C" w:rsidRDefault="00CE436C" w:rsidP="002D6B2C">
            <w:pPr>
              <w:rPr>
                <w:b/>
              </w:rPr>
            </w:pPr>
            <w:r w:rsidRPr="000F7E1C">
              <w:rPr>
                <w:b/>
              </w:rPr>
              <w:t>O „Příležitosti“</w:t>
            </w:r>
          </w:p>
        </w:tc>
        <w:tc>
          <w:tcPr>
            <w:tcW w:w="4606" w:type="dxa"/>
            <w:shd w:val="clear" w:color="auto" w:fill="E5B8B7" w:themeFill="accent2" w:themeFillTint="66"/>
          </w:tcPr>
          <w:p w:rsidR="00CE436C" w:rsidRPr="000F7E1C" w:rsidRDefault="00CE436C" w:rsidP="002D6B2C">
            <w:pPr>
              <w:rPr>
                <w:b/>
              </w:rPr>
            </w:pPr>
            <w:r w:rsidRPr="000F7E1C">
              <w:rPr>
                <w:b/>
              </w:rPr>
              <w:t>T „Hrozby“</w:t>
            </w:r>
          </w:p>
        </w:tc>
      </w:tr>
      <w:tr w:rsidR="00CE436C" w:rsidTr="002D6B2C">
        <w:trPr>
          <w:cantSplit/>
          <w:trHeight w:val="2829"/>
        </w:trPr>
        <w:tc>
          <w:tcPr>
            <w:tcW w:w="4606" w:type="dxa"/>
            <w:shd w:val="clear" w:color="auto" w:fill="DBE5F1" w:themeFill="accent1" w:themeFillTint="33"/>
          </w:tcPr>
          <w:p w:rsidR="00CE436C" w:rsidRDefault="00865197" w:rsidP="00A60AC9">
            <w:pPr>
              <w:pStyle w:val="Odstavecseseznamem"/>
              <w:numPr>
                <w:ilvl w:val="0"/>
                <w:numId w:val="27"/>
              </w:numPr>
            </w:pPr>
            <w:r>
              <w:lastRenderedPageBreak/>
              <w:t xml:space="preserve">Teoretická možnost získání </w:t>
            </w:r>
            <w:r w:rsidR="009C65A5">
              <w:t>dotačn</w:t>
            </w:r>
            <w:r>
              <w:t>ích prostředků.</w:t>
            </w:r>
          </w:p>
          <w:p w:rsidR="00865197" w:rsidRDefault="00865197" w:rsidP="00A60AC9">
            <w:pPr>
              <w:pStyle w:val="Odstavecseseznamem"/>
              <w:numPr>
                <w:ilvl w:val="0"/>
                <w:numId w:val="27"/>
              </w:numPr>
            </w:pPr>
            <w:r>
              <w:t>Výdělečné aktivity spolků a</w:t>
            </w:r>
            <w:r w:rsidR="008C5B19">
              <w:t xml:space="preserve"> </w:t>
            </w:r>
            <w:r>
              <w:t>komunity.</w:t>
            </w:r>
          </w:p>
          <w:p w:rsidR="00F048B0" w:rsidRDefault="00F048B0" w:rsidP="00A60AC9">
            <w:pPr>
              <w:pStyle w:val="Odstavecseseznamem"/>
              <w:numPr>
                <w:ilvl w:val="0"/>
                <w:numId w:val="27"/>
              </w:numPr>
            </w:pPr>
            <w:r>
              <w:t>Víceúčelové využívání prostor.</w:t>
            </w:r>
          </w:p>
        </w:tc>
        <w:tc>
          <w:tcPr>
            <w:tcW w:w="4606" w:type="dxa"/>
            <w:shd w:val="clear" w:color="auto" w:fill="F2DBDB" w:themeFill="accent2" w:themeFillTint="33"/>
          </w:tcPr>
          <w:p w:rsidR="00CE436C" w:rsidRDefault="00911683" w:rsidP="00A60AC9">
            <w:pPr>
              <w:pStyle w:val="Odstavecseseznamem"/>
              <w:numPr>
                <w:ilvl w:val="0"/>
                <w:numId w:val="27"/>
              </w:numPr>
            </w:pPr>
            <w:r>
              <w:t>Rostoucí náklady na údržbu stárnoucích společenských a sportovních budov</w:t>
            </w:r>
            <w:r w:rsidR="00865197">
              <w:t xml:space="preserve"> a zařízení</w:t>
            </w:r>
            <w:r>
              <w:t>.</w:t>
            </w:r>
          </w:p>
        </w:tc>
      </w:tr>
    </w:tbl>
    <w:p w:rsidR="00E642F2" w:rsidRDefault="00E642F2" w:rsidP="00CF04EE"/>
    <w:p w:rsidR="00865197" w:rsidRDefault="00865197" w:rsidP="00A60AC9">
      <w:pPr>
        <w:pStyle w:val="Odstavecseseznamem"/>
        <w:numPr>
          <w:ilvl w:val="0"/>
          <w:numId w:val="27"/>
        </w:numPr>
      </w:pPr>
      <w:r>
        <w:t>Z analýzy vyplývá, že negativními faktor jsou zejména limity v oblasti dostupnosti a stavu infrastruktury vhodné pro sport, kulturu a volnočasové vyžití (převážně rekreační).</w:t>
      </w:r>
    </w:p>
    <w:p w:rsidR="00865197" w:rsidRDefault="00865197" w:rsidP="00A60AC9">
      <w:pPr>
        <w:pStyle w:val="Odstavecseseznamem"/>
        <w:numPr>
          <w:ilvl w:val="1"/>
          <w:numId w:val="27"/>
        </w:numPr>
      </w:pPr>
      <w:r>
        <w:t xml:space="preserve">Řešení mohou být investice do těchto zařízení, přičemž ve většině případů jsou dotační </w:t>
      </w:r>
      <w:r w:rsidR="00C225C1">
        <w:t>prostředky nezbytnou podmínkou.</w:t>
      </w:r>
    </w:p>
    <w:p w:rsidR="00865197" w:rsidRPr="00CF04EE" w:rsidRDefault="00865197" w:rsidP="00865197">
      <w:pPr>
        <w:pStyle w:val="Odstavecseseznamem"/>
        <w:ind w:left="1440"/>
      </w:pPr>
      <w:r>
        <w:t>V některých případech pokud to dovolují zejména odborné a technické nároky projektu, je možné realizovat menší projekty komunitním způsobem - zapojením občanů a aktérů do realizace.</w:t>
      </w:r>
    </w:p>
    <w:p w:rsidR="0052172D" w:rsidRPr="00547630" w:rsidRDefault="0052172D" w:rsidP="00EF7C63">
      <w:pPr>
        <w:pStyle w:val="Nadpis4"/>
      </w:pPr>
      <w:r w:rsidRPr="00547630">
        <w:t xml:space="preserve">Zdravotnická </w:t>
      </w:r>
      <w:r w:rsidR="00EF7C63">
        <w:t>péče</w:t>
      </w:r>
      <w:r w:rsidRPr="00547630">
        <w:t xml:space="preserve"> </w:t>
      </w:r>
    </w:p>
    <w:p w:rsidR="0052172D" w:rsidRDefault="0052172D" w:rsidP="0052172D">
      <w:r>
        <w:t>Centrum oblasti v poskytování zdravotnické péče je nemocnice v Litomyšli. Nemocnice po rozsáhlé rekonstrukci v letech 2002-2004 disponuje odpovídajícím zázemím a vybavením vhodné k péči o pacienty. V nemocni se nachází 15 oddělení s celkovou kapacitou 247 lůžek, z toho 207 určených pro akutní péči a 40 lůžek pro následnou péči pacientů. V roce 2013 nemocnice zaměstnávala přibližně 402 osob, přičemž z tohoto počtu 94 lékařů. Během roku 2013 prošla nemocnice významnou restrukturalizací z důvodu personální krize na dětském, gynekologickém a novorozeneckém oddělení, která vedla až k zastavení činnosti těchto oddělení. Ostatní oddělení jsou plně v provozu a zdravotní péče je poskytov</w:t>
      </w:r>
      <w:r w:rsidR="00582A0F">
        <w:t>ána kvalifikovaným personálem.</w:t>
      </w:r>
      <w:r w:rsidR="00EA0E27">
        <w:rPr>
          <w:rStyle w:val="Znakapoznpodarou"/>
        </w:rPr>
        <w:footnoteReference w:id="15"/>
      </w:r>
    </w:p>
    <w:p w:rsidR="0052172D" w:rsidRDefault="0052172D" w:rsidP="0052172D">
      <w:r>
        <w:lastRenderedPageBreak/>
        <w:t xml:space="preserve">Další zdravotnické služby v oblasti nadále poskytuje </w:t>
      </w:r>
      <w:r w:rsidRPr="007B644D">
        <w:t xml:space="preserve">Vysokomýtská nemocnice, </w:t>
      </w:r>
      <w:r>
        <w:t>kde se</w:t>
      </w:r>
      <w:r w:rsidRPr="007B644D">
        <w:t xml:space="preserve"> od roku 2004</w:t>
      </w:r>
      <w:r>
        <w:t>,</w:t>
      </w:r>
      <w:r w:rsidRPr="007B644D">
        <w:t xml:space="preserve"> po zrušení akutní péče</w:t>
      </w:r>
      <w:r>
        <w:t xml:space="preserve"> pacientům</w:t>
      </w:r>
      <w:r w:rsidRPr="007B644D">
        <w:t xml:space="preserve"> </w:t>
      </w:r>
      <w:r>
        <w:t xml:space="preserve">poskytuje </w:t>
      </w:r>
      <w:r w:rsidRPr="007B644D">
        <w:t>následná</w:t>
      </w:r>
      <w:r>
        <w:t xml:space="preserve"> a doprovodná zdravotnická péče. Ostatní zdravotnické zařízení v oblasti fungují prostřednictvím ordinací praktických i specializovaných lékařů, které se nachází ve městech i menších obcích. Dále jsou v obcích zřízeny lékárny či výdejny léků.</w:t>
      </w:r>
    </w:p>
    <w:p w:rsidR="0052172D" w:rsidRDefault="0052172D" w:rsidP="0052172D">
      <w:r>
        <w:t>Rozsah a rozmístění zdravotnických služeb můžeme pozorovat v tabulce níže. V přehledu jsou uvedeny pouze obce, které disponují alespoň jednou zdravotní službou či zařízením. Ostatní obce oblasti nejsou vybaveny zdravotnickými zařízeními či stálou zdravotnickou péčí.</w:t>
      </w:r>
    </w:p>
    <w:tbl>
      <w:tblPr>
        <w:tblW w:w="8122" w:type="dxa"/>
        <w:tblInd w:w="54" w:type="dxa"/>
        <w:tblCellMar>
          <w:left w:w="70" w:type="dxa"/>
          <w:right w:w="70" w:type="dxa"/>
        </w:tblCellMar>
        <w:tblLook w:val="04A0"/>
      </w:tblPr>
      <w:tblGrid>
        <w:gridCol w:w="2100"/>
        <w:gridCol w:w="422"/>
        <w:gridCol w:w="700"/>
        <w:gridCol w:w="700"/>
        <w:gridCol w:w="700"/>
        <w:gridCol w:w="700"/>
        <w:gridCol w:w="700"/>
        <w:gridCol w:w="700"/>
        <w:gridCol w:w="700"/>
        <w:gridCol w:w="700"/>
      </w:tblGrid>
      <w:tr w:rsidR="0052172D" w:rsidRPr="00D975F6" w:rsidTr="002D589F">
        <w:trPr>
          <w:trHeight w:val="3780"/>
        </w:trPr>
        <w:tc>
          <w:tcPr>
            <w:tcW w:w="2100" w:type="dxa"/>
            <w:tcBorders>
              <w:top w:val="single" w:sz="8" w:space="0" w:color="auto"/>
              <w:left w:val="single" w:sz="8" w:space="0" w:color="auto"/>
              <w:bottom w:val="nil"/>
              <w:right w:val="nil"/>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 </w:t>
            </w:r>
          </w:p>
        </w:tc>
        <w:tc>
          <w:tcPr>
            <w:tcW w:w="422" w:type="dxa"/>
            <w:tcBorders>
              <w:top w:val="single" w:sz="8" w:space="0" w:color="auto"/>
              <w:left w:val="single" w:sz="8" w:space="0" w:color="auto"/>
              <w:bottom w:val="single" w:sz="8" w:space="0" w:color="auto"/>
              <w:right w:val="single" w:sz="4" w:space="0" w:color="auto"/>
            </w:tcBorders>
            <w:shd w:val="clear" w:color="auto" w:fill="auto"/>
            <w:noWrap/>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Nemocnice</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Samostatná ordinace praktického lékaře pro dospělé vč. detaš. prac.</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Samostatná ordinace praktického lékaře pro děti a dorost vč. detaš. prac.</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Samostatná ordinace praktického lékaře stomatologa vč. detaš. prac.</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Samostatná ordinace praktického lékaře gynekologa vč. detaš. prac.</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Samostatná ordinace praktického lékaře specialisty vč. detaš. prac.</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Ostatní samostatná zařízení vč. detaš. pracovišť</w:t>
            </w:r>
          </w:p>
        </w:tc>
        <w:tc>
          <w:tcPr>
            <w:tcW w:w="700" w:type="dxa"/>
            <w:tcBorders>
              <w:top w:val="single" w:sz="8" w:space="0" w:color="auto"/>
              <w:left w:val="nil"/>
              <w:bottom w:val="single" w:sz="8" w:space="0" w:color="auto"/>
              <w:right w:val="single" w:sz="4"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Zařízení lékárenské péče vč. detaš. pracovišť</w:t>
            </w:r>
          </w:p>
        </w:tc>
        <w:tc>
          <w:tcPr>
            <w:tcW w:w="700" w:type="dxa"/>
            <w:tcBorders>
              <w:top w:val="single" w:sz="8" w:space="0" w:color="auto"/>
              <w:left w:val="nil"/>
              <w:bottom w:val="single" w:sz="8" w:space="0" w:color="auto"/>
              <w:right w:val="single" w:sz="8" w:space="0" w:color="auto"/>
            </w:tcBorders>
            <w:shd w:val="clear" w:color="auto" w:fill="auto"/>
            <w:textDirection w:val="btLr"/>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Středisko rychlé záchr. služby a rychlé zdrav. pomoci vč. detaš. pracovišť</w:t>
            </w:r>
          </w:p>
        </w:tc>
      </w:tr>
      <w:tr w:rsidR="0052172D" w:rsidRPr="00D975F6" w:rsidTr="002D589F">
        <w:trPr>
          <w:trHeight w:val="300"/>
        </w:trPr>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Budislav</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Cerekvice n. Loučnou</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Čistá</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Dolní Újezd</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Litomyšl</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7</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5</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9</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9</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7</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 xml:space="preserve">Lubná </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 xml:space="preserve">Morašice </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Nové hrady</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Proseč</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 xml:space="preserve">Sebranice </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Sloupnice</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0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Trstěnice</w:t>
            </w:r>
          </w:p>
        </w:tc>
        <w:tc>
          <w:tcPr>
            <w:tcW w:w="422"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c>
          <w:tcPr>
            <w:tcW w:w="700" w:type="dxa"/>
            <w:tcBorders>
              <w:top w:val="nil"/>
              <w:left w:val="nil"/>
              <w:bottom w:val="single" w:sz="4"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0</w:t>
            </w:r>
          </w:p>
        </w:tc>
      </w:tr>
      <w:tr w:rsidR="0052172D" w:rsidRPr="00D975F6" w:rsidTr="002D589F">
        <w:trPr>
          <w:trHeight w:val="315"/>
        </w:trPr>
        <w:tc>
          <w:tcPr>
            <w:tcW w:w="2100" w:type="dxa"/>
            <w:tcBorders>
              <w:top w:val="nil"/>
              <w:left w:val="single" w:sz="8" w:space="0" w:color="auto"/>
              <w:bottom w:val="single" w:sz="8" w:space="0" w:color="auto"/>
              <w:right w:val="single" w:sz="8"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Vysoké Mýto</w:t>
            </w:r>
          </w:p>
        </w:tc>
        <w:tc>
          <w:tcPr>
            <w:tcW w:w="422"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10</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4</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7</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16</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7</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8</w:t>
            </w:r>
          </w:p>
        </w:tc>
        <w:tc>
          <w:tcPr>
            <w:tcW w:w="700" w:type="dxa"/>
            <w:tcBorders>
              <w:top w:val="nil"/>
              <w:left w:val="nil"/>
              <w:bottom w:val="single" w:sz="8"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w:t>
            </w:r>
          </w:p>
        </w:tc>
      </w:tr>
      <w:tr w:rsidR="0052172D" w:rsidRPr="00D975F6" w:rsidTr="002D589F">
        <w:trPr>
          <w:trHeight w:val="315"/>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52172D" w:rsidRPr="00D975F6" w:rsidRDefault="0052172D" w:rsidP="002D589F">
            <w:pPr>
              <w:spacing w:after="0"/>
              <w:jc w:val="left"/>
              <w:rPr>
                <w:rFonts w:ascii="Calibri" w:hAnsi="Calibri"/>
                <w:color w:val="000000"/>
                <w:lang w:eastAsia="cs-CZ"/>
              </w:rPr>
            </w:pPr>
            <w:r w:rsidRPr="00D975F6">
              <w:rPr>
                <w:rFonts w:ascii="Calibri" w:hAnsi="Calibri"/>
                <w:color w:val="000000"/>
                <w:lang w:eastAsia="cs-CZ"/>
              </w:rPr>
              <w:t xml:space="preserve">Celkem </w:t>
            </w:r>
            <w:r>
              <w:rPr>
                <w:rFonts w:ascii="Calibri" w:hAnsi="Calibri"/>
                <w:color w:val="000000"/>
                <w:lang w:eastAsia="cs-CZ"/>
              </w:rPr>
              <w:t>jednotek</w:t>
            </w:r>
          </w:p>
        </w:tc>
        <w:tc>
          <w:tcPr>
            <w:tcW w:w="422"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27</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17</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24</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6</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36</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17</w:t>
            </w:r>
          </w:p>
        </w:tc>
        <w:tc>
          <w:tcPr>
            <w:tcW w:w="700" w:type="dxa"/>
            <w:tcBorders>
              <w:top w:val="nil"/>
              <w:left w:val="nil"/>
              <w:bottom w:val="single" w:sz="8" w:space="0" w:color="auto"/>
              <w:right w:val="single" w:sz="4"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19</w:t>
            </w:r>
          </w:p>
        </w:tc>
        <w:tc>
          <w:tcPr>
            <w:tcW w:w="700" w:type="dxa"/>
            <w:tcBorders>
              <w:top w:val="nil"/>
              <w:left w:val="nil"/>
              <w:bottom w:val="single" w:sz="8" w:space="0" w:color="auto"/>
              <w:right w:val="single" w:sz="8" w:space="0" w:color="auto"/>
            </w:tcBorders>
            <w:shd w:val="clear" w:color="auto" w:fill="auto"/>
            <w:noWrap/>
            <w:vAlign w:val="bottom"/>
            <w:hideMark/>
          </w:tcPr>
          <w:p w:rsidR="0052172D" w:rsidRPr="00D975F6" w:rsidRDefault="0052172D" w:rsidP="002D589F">
            <w:pPr>
              <w:spacing w:after="0"/>
              <w:jc w:val="right"/>
              <w:rPr>
                <w:rFonts w:ascii="Calibri" w:hAnsi="Calibri"/>
                <w:color w:val="000000"/>
                <w:lang w:eastAsia="cs-CZ"/>
              </w:rPr>
            </w:pPr>
            <w:r w:rsidRPr="00D975F6">
              <w:rPr>
                <w:rFonts w:ascii="Calibri" w:hAnsi="Calibri"/>
                <w:color w:val="000000"/>
                <w:lang w:eastAsia="cs-CZ"/>
              </w:rPr>
              <w:t>2</w:t>
            </w:r>
          </w:p>
        </w:tc>
      </w:tr>
    </w:tbl>
    <w:p w:rsidR="0052172D" w:rsidRDefault="0052172D" w:rsidP="0052172D">
      <w:pPr>
        <w:rPr>
          <w:rFonts w:eastAsia="TimesNewRomanPSMT" w:cs="TimesNewRomanPSMT"/>
        </w:rPr>
      </w:pPr>
      <w:r>
        <w:rPr>
          <w:rFonts w:eastAsia="TimesNewRomanPSMT" w:cs="TimesNewRomanPSMT"/>
        </w:rPr>
        <w:lastRenderedPageBreak/>
        <w:t xml:space="preserve">Tab.: </w:t>
      </w:r>
      <w:r w:rsidRPr="00252697">
        <w:rPr>
          <w:rFonts w:eastAsia="TimesNewRomanPSMT" w:cs="TimesNewRomanPSMT"/>
        </w:rPr>
        <w:t>Rozsah a rozmístění zdravotnických služeb</w:t>
      </w:r>
      <w:r w:rsidR="00582A0F">
        <w:rPr>
          <w:rFonts w:eastAsia="TimesNewRomanPSMT" w:cs="TimesNewRomanPSMT"/>
        </w:rPr>
        <w:t xml:space="preserve"> (zdroj ČSÚ)</w:t>
      </w:r>
    </w:p>
    <w:p w:rsidR="0052172D" w:rsidRDefault="0052172D" w:rsidP="0052172D">
      <w:pPr>
        <w:rPr>
          <w:rFonts w:eastAsia="TimesNewRomanPSMT" w:cs="TimesNewRomanPSMT"/>
        </w:rPr>
      </w:pPr>
      <w:r>
        <w:rPr>
          <w:rFonts w:eastAsia="TimesNewRomanPSMT" w:cs="TimesNewRomanPSMT"/>
        </w:rPr>
        <w:t xml:space="preserve">Celkový rozsah i rozmístění poskytované zdravotní péče na území působnosti MAS Litomyšlsko je na dostatečné úrovni a nevyžadují významnější zásahy do současného stavu. </w:t>
      </w:r>
      <w:r w:rsidR="00F9794C">
        <w:rPr>
          <w:rFonts w:eastAsia="TimesNewRomanPSMT" w:cs="TimesNewRomanPSMT"/>
        </w:rPr>
        <w:t>Nezbytné je ale udržení stávajícího stavu.</w:t>
      </w:r>
    </w:p>
    <w:p w:rsidR="00957CDF" w:rsidRDefault="00957CDF" w:rsidP="00957CDF">
      <w:pPr>
        <w:pStyle w:val="Nadpis5"/>
        <w:rPr>
          <w:rFonts w:eastAsia="TimesNewRomanPSMT"/>
        </w:rPr>
      </w:pPr>
      <w:r>
        <w:rPr>
          <w:rFonts w:eastAsia="TimesNewRomanPSMT"/>
        </w:rPr>
        <w:t>Pohled aktérů z regionu</w:t>
      </w:r>
    </w:p>
    <w:p w:rsidR="00957CDF" w:rsidRDefault="00957CDF" w:rsidP="00957CDF">
      <w:r w:rsidRPr="007948F2">
        <w:t>Vyjádření starostů obc</w:t>
      </w:r>
      <w:r>
        <w:t>í</w:t>
      </w:r>
    </w:p>
    <w:p w:rsidR="00957CDF" w:rsidRPr="007948F2" w:rsidRDefault="00957CDF" w:rsidP="00957CDF">
      <w:r>
        <w:t xml:space="preserve">Starostové obcí jsou převážně spokojeni s dostupností a kvalitou zdravotní péče v jejich obci. 88% z nich hodnotilo současný stav kladným vyjádřením. Pouze 4% z nich označilo současný stav zdravotnické péče jako nevyhovující. Dalších 8% považuje služby za spíše nevyhovující. </w:t>
      </w:r>
    </w:p>
    <w:p w:rsidR="00957CDF" w:rsidRDefault="00957CDF" w:rsidP="00957CDF">
      <w:r w:rsidRPr="007948F2">
        <w:rPr>
          <w:noProof/>
          <w:lang w:eastAsia="cs-CZ"/>
        </w:rPr>
        <w:drawing>
          <wp:inline distT="0" distB="0" distL="0" distR="0">
            <wp:extent cx="4572000" cy="2799080"/>
            <wp:effectExtent l="19050" t="0" r="19050" b="1270"/>
            <wp:docPr id="8"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7CDF" w:rsidRDefault="00957CDF" w:rsidP="00957CDF">
      <w:r>
        <w:t>Graf.: Dostupnost a kvalita zdravotní péče z pohledu starostů</w:t>
      </w:r>
    </w:p>
    <w:p w:rsidR="00957CDF" w:rsidRDefault="00957CDF" w:rsidP="00957CDF">
      <w:r>
        <w:t>Vyjádření občanů</w:t>
      </w:r>
    </w:p>
    <w:p w:rsidR="00957CDF" w:rsidRDefault="00957CDF" w:rsidP="00957CDF">
      <w:r>
        <w:t>Z pohledu občanů je dostupnost a kvalita zdravotní péče ze 71% vyhovující nebo spíše vyhovující. 11% občanů řadí zdravotní péči na úroveň spíše nevyhovující a 12% obyvatel hodnotí dostupnost a kvalitu zdrav. péče zcela záporně, jako nevyhovující.  6% obyvatel se k této situaci nevyjádřilo.</w:t>
      </w:r>
    </w:p>
    <w:p w:rsidR="00957CDF" w:rsidRDefault="00957CDF" w:rsidP="00957CDF">
      <w:r w:rsidRPr="007948F2">
        <w:rPr>
          <w:noProof/>
          <w:lang w:eastAsia="cs-CZ"/>
        </w:rPr>
        <w:lastRenderedPageBreak/>
        <w:drawing>
          <wp:inline distT="0" distB="0" distL="0" distR="0">
            <wp:extent cx="4572000" cy="2743200"/>
            <wp:effectExtent l="19050" t="0" r="19050" b="0"/>
            <wp:docPr id="9"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57CDF" w:rsidRDefault="00957CDF" w:rsidP="00957CDF">
      <w:r w:rsidRPr="00D93645">
        <w:t xml:space="preserve">Graf.: Dostupnost a kvalita zdravotní péče z pohledu </w:t>
      </w:r>
      <w:r>
        <w:t>občanů</w:t>
      </w:r>
    </w:p>
    <w:p w:rsidR="00957CDF" w:rsidRPr="00957CDF" w:rsidRDefault="00957CDF" w:rsidP="00957CDF">
      <w:pPr>
        <w:rPr>
          <w:rFonts w:eastAsia="TimesNewRomanPSMT"/>
        </w:rPr>
      </w:pPr>
    </w:p>
    <w:p w:rsidR="00EF7C63" w:rsidRDefault="00EF7C63" w:rsidP="00EF7C63">
      <w:pPr>
        <w:pStyle w:val="Nadpis5"/>
        <w:rPr>
          <w:rFonts w:eastAsia="TimesNewRomanPSMT"/>
        </w:rPr>
      </w:pPr>
      <w:r>
        <w:rPr>
          <w:rFonts w:eastAsia="TimesNewRomanPSMT"/>
        </w:rPr>
        <w:t>Shrnutí oblasti zdravotní péče</w:t>
      </w:r>
    </w:p>
    <w:tbl>
      <w:tblPr>
        <w:tblStyle w:val="Mkatabulky"/>
        <w:tblW w:w="0" w:type="auto"/>
        <w:tblLook w:val="04A0"/>
      </w:tblPr>
      <w:tblGrid>
        <w:gridCol w:w="4606"/>
        <w:gridCol w:w="4606"/>
      </w:tblGrid>
      <w:tr w:rsidR="00EF7C63" w:rsidTr="00F34026">
        <w:trPr>
          <w:cantSplit/>
        </w:trPr>
        <w:tc>
          <w:tcPr>
            <w:tcW w:w="4606" w:type="dxa"/>
            <w:shd w:val="clear" w:color="auto" w:fill="D6E3BC" w:themeFill="accent3" w:themeFillTint="66"/>
          </w:tcPr>
          <w:p w:rsidR="00EF7C63" w:rsidRPr="000F7E1C" w:rsidRDefault="00EF7C63" w:rsidP="00F34026">
            <w:pPr>
              <w:rPr>
                <w:b/>
              </w:rPr>
            </w:pPr>
            <w:r w:rsidRPr="000F7E1C">
              <w:rPr>
                <w:b/>
              </w:rPr>
              <w:t>S „Silné stránky“</w:t>
            </w:r>
          </w:p>
        </w:tc>
        <w:tc>
          <w:tcPr>
            <w:tcW w:w="4606" w:type="dxa"/>
            <w:shd w:val="clear" w:color="auto" w:fill="FBD4B4" w:themeFill="accent6" w:themeFillTint="66"/>
          </w:tcPr>
          <w:p w:rsidR="00EF7C63" w:rsidRPr="000F7E1C" w:rsidRDefault="00EF7C63" w:rsidP="00F34026">
            <w:pPr>
              <w:rPr>
                <w:b/>
              </w:rPr>
            </w:pPr>
            <w:r w:rsidRPr="000F7E1C">
              <w:rPr>
                <w:b/>
              </w:rPr>
              <w:t>W „Slabé stránky“</w:t>
            </w:r>
          </w:p>
        </w:tc>
      </w:tr>
      <w:tr w:rsidR="00EF7C63" w:rsidTr="00F34026">
        <w:trPr>
          <w:cantSplit/>
          <w:trHeight w:val="2309"/>
        </w:trPr>
        <w:tc>
          <w:tcPr>
            <w:tcW w:w="4606" w:type="dxa"/>
            <w:shd w:val="clear" w:color="auto" w:fill="EAF1DD" w:themeFill="accent3" w:themeFillTint="33"/>
          </w:tcPr>
          <w:p w:rsidR="00EF7C63" w:rsidRDefault="00EF7C63" w:rsidP="00A60AC9">
            <w:pPr>
              <w:pStyle w:val="Odstavecseseznamem"/>
              <w:numPr>
                <w:ilvl w:val="0"/>
                <w:numId w:val="26"/>
              </w:numPr>
            </w:pPr>
            <w:r>
              <w:t>V současnosti dobrá zdravotní vybavenost.</w:t>
            </w:r>
          </w:p>
          <w:p w:rsidR="00EF7C63" w:rsidRDefault="00EF7C63" w:rsidP="00F34026"/>
        </w:tc>
        <w:tc>
          <w:tcPr>
            <w:tcW w:w="4606" w:type="dxa"/>
            <w:shd w:val="clear" w:color="auto" w:fill="FDE9D9" w:themeFill="accent6" w:themeFillTint="33"/>
          </w:tcPr>
          <w:p w:rsidR="00EF7C63" w:rsidRDefault="00EF7C63" w:rsidP="00A60AC9">
            <w:pPr>
              <w:pStyle w:val="Odstavecseseznamem"/>
              <w:numPr>
                <w:ilvl w:val="0"/>
                <w:numId w:val="25"/>
              </w:numPr>
            </w:pPr>
            <w:r>
              <w:t>Závislost na dopravní obslužnosti při cestách za zdravotnictvím.</w:t>
            </w:r>
          </w:p>
          <w:p w:rsidR="00EF7C63" w:rsidRDefault="00EF7C63" w:rsidP="00A60AC9">
            <w:pPr>
              <w:pStyle w:val="Odstavecseseznamem"/>
              <w:numPr>
                <w:ilvl w:val="0"/>
                <w:numId w:val="25"/>
              </w:numPr>
            </w:pPr>
            <w:r w:rsidRPr="0091684D">
              <w:t xml:space="preserve">Zánik </w:t>
            </w:r>
            <w:r>
              <w:t>některých oddělení Litomyšlské nemocnice.</w:t>
            </w:r>
          </w:p>
        </w:tc>
      </w:tr>
      <w:tr w:rsidR="00EF7C63" w:rsidTr="00F34026">
        <w:trPr>
          <w:cantSplit/>
        </w:trPr>
        <w:tc>
          <w:tcPr>
            <w:tcW w:w="4606" w:type="dxa"/>
            <w:shd w:val="clear" w:color="auto" w:fill="B8CCE4" w:themeFill="accent1" w:themeFillTint="66"/>
          </w:tcPr>
          <w:p w:rsidR="00EF7C63" w:rsidRPr="000F7E1C" w:rsidRDefault="00EF7C63" w:rsidP="00F34026">
            <w:pPr>
              <w:rPr>
                <w:b/>
              </w:rPr>
            </w:pPr>
            <w:r w:rsidRPr="000F7E1C">
              <w:rPr>
                <w:b/>
              </w:rPr>
              <w:t>O „Příležitosti“</w:t>
            </w:r>
          </w:p>
        </w:tc>
        <w:tc>
          <w:tcPr>
            <w:tcW w:w="4606" w:type="dxa"/>
            <w:shd w:val="clear" w:color="auto" w:fill="E5B8B7" w:themeFill="accent2" w:themeFillTint="66"/>
          </w:tcPr>
          <w:p w:rsidR="00EF7C63" w:rsidRPr="000F7E1C" w:rsidRDefault="00EF7C63" w:rsidP="00F34026">
            <w:pPr>
              <w:rPr>
                <w:b/>
              </w:rPr>
            </w:pPr>
            <w:r w:rsidRPr="000F7E1C">
              <w:rPr>
                <w:b/>
              </w:rPr>
              <w:t>T „Hrozby“</w:t>
            </w:r>
          </w:p>
        </w:tc>
      </w:tr>
      <w:tr w:rsidR="00EF7C63" w:rsidTr="00F34026">
        <w:trPr>
          <w:cantSplit/>
          <w:trHeight w:val="2829"/>
        </w:trPr>
        <w:tc>
          <w:tcPr>
            <w:tcW w:w="4606" w:type="dxa"/>
            <w:shd w:val="clear" w:color="auto" w:fill="DBE5F1" w:themeFill="accent1" w:themeFillTint="33"/>
          </w:tcPr>
          <w:p w:rsidR="00EF7C63" w:rsidRDefault="00AF3286" w:rsidP="00A60AC9">
            <w:pPr>
              <w:pStyle w:val="Odstavecseseznamem"/>
              <w:numPr>
                <w:ilvl w:val="0"/>
                <w:numId w:val="27"/>
              </w:numPr>
            </w:pPr>
            <w:r>
              <w:t>Posílení služeb terénní péče.</w:t>
            </w:r>
          </w:p>
          <w:p w:rsidR="00AF3286" w:rsidRDefault="00AF3286" w:rsidP="00A60AC9">
            <w:pPr>
              <w:pStyle w:val="Odstavecseseznamem"/>
              <w:numPr>
                <w:ilvl w:val="0"/>
                <w:numId w:val="27"/>
              </w:numPr>
            </w:pPr>
            <w:r>
              <w:t>Zajištění individuální dopravy osob za zdravotnictvím, apod., s čímž jsou dobré zkušenosti z území Vysokého Mýta.</w:t>
            </w:r>
          </w:p>
        </w:tc>
        <w:tc>
          <w:tcPr>
            <w:tcW w:w="4606" w:type="dxa"/>
            <w:shd w:val="clear" w:color="auto" w:fill="F2DBDB" w:themeFill="accent2" w:themeFillTint="33"/>
          </w:tcPr>
          <w:p w:rsidR="00EF7C63" w:rsidRDefault="00EF7C63" w:rsidP="00A60AC9">
            <w:pPr>
              <w:pStyle w:val="Odstavecseseznamem"/>
              <w:numPr>
                <w:ilvl w:val="0"/>
                <w:numId w:val="27"/>
              </w:numPr>
            </w:pPr>
            <w:r>
              <w:t>Stárnutí populace a s tím s</w:t>
            </w:r>
            <w:r w:rsidR="00AF3286">
              <w:t>pojené vyšší nároky (a náklady) na zdravotnickou</w:t>
            </w:r>
            <w:r>
              <w:t xml:space="preserve"> </w:t>
            </w:r>
            <w:r w:rsidR="00AF3286">
              <w:t xml:space="preserve">i sociální </w:t>
            </w:r>
            <w:r>
              <w:t>péči.</w:t>
            </w:r>
          </w:p>
          <w:p w:rsidR="00AF3286" w:rsidRDefault="00AF3286" w:rsidP="00A60AC9">
            <w:pPr>
              <w:pStyle w:val="Odstavecseseznamem"/>
              <w:numPr>
                <w:ilvl w:val="0"/>
                <w:numId w:val="27"/>
              </w:numPr>
            </w:pPr>
            <w:r>
              <w:t xml:space="preserve">Zastarávání zdravotnických zařízení </w:t>
            </w:r>
            <w:r w:rsidR="007174DF">
              <w:t>a vybavení.</w:t>
            </w:r>
          </w:p>
        </w:tc>
      </w:tr>
    </w:tbl>
    <w:p w:rsidR="00EF7C63" w:rsidRDefault="00EF7C63" w:rsidP="0052172D">
      <w:pPr>
        <w:rPr>
          <w:rFonts w:eastAsia="TimesNewRomanPSMT" w:cs="TimesNewRomanPSMT"/>
        </w:rPr>
      </w:pPr>
    </w:p>
    <w:p w:rsidR="00F3564E" w:rsidRDefault="00F3564E" w:rsidP="00A60AC9">
      <w:pPr>
        <w:pStyle w:val="Odstavecseseznamem"/>
        <w:numPr>
          <w:ilvl w:val="0"/>
          <w:numId w:val="27"/>
        </w:numPr>
        <w:rPr>
          <w:rFonts w:eastAsia="TimesNewRomanPSMT" w:cs="TimesNewRomanPSMT"/>
        </w:rPr>
      </w:pPr>
      <w:r>
        <w:rPr>
          <w:rFonts w:eastAsia="TimesNewRomanPSMT" w:cs="TimesNewRomanPSMT"/>
        </w:rPr>
        <w:lastRenderedPageBreak/>
        <w:t>Zániky a zřizování oddělení nemocnic v regionu bohužel není z pohledu MAS řešitelné vzhledem k úloze MAS a k finančním i systémovým možnostem.</w:t>
      </w:r>
    </w:p>
    <w:p w:rsidR="00F3564E" w:rsidRDefault="00F3564E" w:rsidP="00A60AC9">
      <w:pPr>
        <w:pStyle w:val="Odstavecseseznamem"/>
        <w:numPr>
          <w:ilvl w:val="0"/>
          <w:numId w:val="27"/>
        </w:numPr>
        <w:rPr>
          <w:rFonts w:eastAsia="TimesNewRomanPSMT" w:cs="TimesNewRomanPSMT"/>
        </w:rPr>
      </w:pPr>
      <w:r>
        <w:rPr>
          <w:rFonts w:eastAsia="TimesNewRomanPSMT" w:cs="TimesNewRomanPSMT"/>
        </w:rPr>
        <w:t>Problematika zastarávání zejména objektů zdravotnických zařízení je řešitelná pouze investicemi z obecních nebo dotačních zdrojů. Dobré jsou zkušenosti s aplikací LEADER.</w:t>
      </w:r>
    </w:p>
    <w:p w:rsidR="00AF3286" w:rsidRDefault="00AF3286" w:rsidP="00A60AC9">
      <w:pPr>
        <w:pStyle w:val="Odstavecseseznamem"/>
        <w:numPr>
          <w:ilvl w:val="0"/>
          <w:numId w:val="27"/>
        </w:numPr>
        <w:rPr>
          <w:rFonts w:eastAsia="TimesNewRomanPSMT" w:cs="TimesNewRomanPSMT"/>
        </w:rPr>
      </w:pPr>
      <w:r>
        <w:rPr>
          <w:rFonts w:eastAsia="TimesNewRomanPSMT" w:cs="TimesNewRomanPSMT"/>
        </w:rPr>
        <w:t>Problém stárnutí populace a související nároky na zdravotní péči stejně jako závislost na dopravní obslužnosti je eliminovatelný nebo kompenzovatelný několika způsoby.</w:t>
      </w:r>
    </w:p>
    <w:p w:rsidR="00AF3286" w:rsidRDefault="00AF3286" w:rsidP="00A60AC9">
      <w:pPr>
        <w:pStyle w:val="Odstavecseseznamem"/>
        <w:numPr>
          <w:ilvl w:val="1"/>
          <w:numId w:val="27"/>
        </w:numPr>
        <w:rPr>
          <w:rFonts w:eastAsia="TimesNewRomanPSMT" w:cs="TimesNewRomanPSMT"/>
        </w:rPr>
      </w:pPr>
      <w:r>
        <w:rPr>
          <w:rFonts w:eastAsia="TimesNewRomanPSMT" w:cs="TimesNewRomanPSMT"/>
        </w:rPr>
        <w:t xml:space="preserve">Posílení terénních služeb, kdy řadu méně náročných zdravotnických úkonů zvládnou také kvalifikovaní pracovníci a pracovnice </w:t>
      </w:r>
      <w:r w:rsidR="008D12D6">
        <w:rPr>
          <w:rFonts w:eastAsia="TimesNewRomanPSMT" w:cs="TimesNewRomanPSMT"/>
        </w:rPr>
        <w:t>v místě bydliště klienta/pacienta</w:t>
      </w:r>
      <w:r>
        <w:rPr>
          <w:rFonts w:eastAsia="TimesNewRomanPSMT" w:cs="TimesNewRomanPSMT"/>
        </w:rPr>
        <w:t>.</w:t>
      </w:r>
    </w:p>
    <w:p w:rsidR="006374E0" w:rsidRDefault="006374E0" w:rsidP="006374E0">
      <w:pPr>
        <w:pStyle w:val="Odstavecseseznamem"/>
        <w:ind w:left="1440"/>
        <w:rPr>
          <w:rFonts w:eastAsia="TimesNewRomanPSMT" w:cs="TimesNewRomanPSMT"/>
        </w:rPr>
      </w:pPr>
      <w:r>
        <w:rPr>
          <w:rFonts w:eastAsia="TimesNewRomanPSMT" w:cs="TimesNewRomanPSMT"/>
        </w:rPr>
        <w:t xml:space="preserve">Financování z vhodných dotačních titulů </w:t>
      </w:r>
      <w:r w:rsidR="00116F6F">
        <w:rPr>
          <w:rFonts w:eastAsia="TimesNewRomanPSMT" w:cs="TimesNewRomanPSMT"/>
        </w:rPr>
        <w:t>v kombinaci</w:t>
      </w:r>
      <w:r>
        <w:rPr>
          <w:rFonts w:eastAsia="TimesNewRomanPSMT" w:cs="TimesNewRomanPSMT"/>
        </w:rPr>
        <w:t xml:space="preserve"> s obecními zdroji.</w:t>
      </w:r>
    </w:p>
    <w:p w:rsidR="00AF3286" w:rsidRDefault="00AF3286" w:rsidP="00A60AC9">
      <w:pPr>
        <w:pStyle w:val="Odstavecseseznamem"/>
        <w:numPr>
          <w:ilvl w:val="1"/>
          <w:numId w:val="27"/>
        </w:numPr>
        <w:rPr>
          <w:rFonts w:eastAsia="TimesNewRomanPSMT" w:cs="TimesNewRomanPSMT"/>
        </w:rPr>
      </w:pPr>
      <w:r>
        <w:rPr>
          <w:rFonts w:eastAsia="TimesNewRomanPSMT" w:cs="TimesNewRomanPSMT"/>
        </w:rPr>
        <w:t xml:space="preserve">Zajištěním individuální dopravy osob (např. tzv. </w:t>
      </w:r>
      <w:r w:rsidR="00671945">
        <w:rPr>
          <w:rFonts w:eastAsia="TimesNewRomanPSMT" w:cs="TimesNewRomanPSMT"/>
        </w:rPr>
        <w:t>„</w:t>
      </w:r>
      <w:r>
        <w:rPr>
          <w:rFonts w:eastAsia="TimesNewRomanPSMT" w:cs="TimesNewRomanPSMT"/>
        </w:rPr>
        <w:t>seniordoprava</w:t>
      </w:r>
      <w:r w:rsidR="00671945">
        <w:rPr>
          <w:rFonts w:eastAsia="TimesNewRomanPSMT" w:cs="TimesNewRomanPSMT"/>
        </w:rPr>
        <w:t>“</w:t>
      </w:r>
      <w:r>
        <w:rPr>
          <w:rFonts w:eastAsia="TimesNewRomanPSMT" w:cs="TimesNewRomanPSMT"/>
        </w:rPr>
        <w:t>). S tímto způsobem dopravy má již zkušenosti Vysoké Mýto, ale doposud pouze na území města. Existuje silná poptávka po rozšíření těchto služeb do regionu.</w:t>
      </w:r>
    </w:p>
    <w:p w:rsidR="00AF3286" w:rsidRDefault="00AF3286" w:rsidP="00AF3286">
      <w:pPr>
        <w:pStyle w:val="Odstavecseseznamem"/>
        <w:ind w:left="1440"/>
        <w:rPr>
          <w:rFonts w:eastAsia="TimesNewRomanPSMT" w:cs="TimesNewRomanPSMT"/>
        </w:rPr>
      </w:pPr>
      <w:r>
        <w:rPr>
          <w:rFonts w:eastAsia="TimesNewRomanPSMT" w:cs="TimesNewRomanPSMT"/>
        </w:rPr>
        <w:t>Pořizovací náklady na vozový park je možné případně hradit z vhodných dotačních titulů</w:t>
      </w:r>
      <w:r w:rsidR="006374E0">
        <w:rPr>
          <w:rFonts w:eastAsia="TimesNewRomanPSMT" w:cs="TimesNewRomanPSMT"/>
        </w:rPr>
        <w:t>. Provoz je financovatelný rovněž z vhodných dotačních prostředků nebo spolufinancováním obcemi.</w:t>
      </w:r>
    </w:p>
    <w:p w:rsidR="00AF3286" w:rsidRDefault="00AF3286" w:rsidP="00A60AC9">
      <w:pPr>
        <w:pStyle w:val="Odstavecseseznamem"/>
        <w:numPr>
          <w:ilvl w:val="1"/>
          <w:numId w:val="27"/>
        </w:numPr>
        <w:rPr>
          <w:rFonts w:eastAsia="TimesNewRomanPSMT" w:cs="TimesNewRomanPSMT"/>
        </w:rPr>
      </w:pPr>
      <w:r>
        <w:rPr>
          <w:rFonts w:eastAsia="TimesNewRomanPSMT" w:cs="TimesNewRomanPSMT"/>
        </w:rPr>
        <w:t>Udržení úrovně hromadné dopravy.</w:t>
      </w:r>
      <w:r w:rsidR="006374E0">
        <w:rPr>
          <w:rFonts w:eastAsia="TimesNewRomanPSMT" w:cs="TimesNewRomanPSMT"/>
        </w:rPr>
        <w:t xml:space="preserve"> Finanční nároky tohoto opatření by nesl především Pardubický kraj a relevantní obce.</w:t>
      </w:r>
    </w:p>
    <w:p w:rsidR="000140CB" w:rsidRPr="000140CB" w:rsidRDefault="000140CB" w:rsidP="000140CB">
      <w:pPr>
        <w:rPr>
          <w:rFonts w:eastAsia="TimesNewRomanPSMT" w:cs="TimesNewRomanPSMT"/>
        </w:rPr>
      </w:pPr>
      <w:r w:rsidRPr="000140CB">
        <w:rPr>
          <w:rFonts w:eastAsia="TimesNewRomanPSMT" w:cs="TimesNewRomanPSMT"/>
        </w:rPr>
        <w:t>Pozn: V této časti jsou využity informace z dokumentu Strategie území správního obvodu ORP Litomyšl v oblasti předškolní výchovy a základního školství, sociálních služeb, odpadového hospodářství a cestovní ruch.</w:t>
      </w:r>
    </w:p>
    <w:p w:rsidR="00EF7C63" w:rsidRDefault="00EF7C63" w:rsidP="00EF7C63">
      <w:pPr>
        <w:pStyle w:val="Nadpis4"/>
      </w:pPr>
      <w:r>
        <w:t>Sociální péče</w:t>
      </w:r>
    </w:p>
    <w:p w:rsidR="0052172D" w:rsidRPr="00204B9E" w:rsidRDefault="0052172D" w:rsidP="0052172D">
      <w:pPr>
        <w:rPr>
          <w:rFonts w:eastAsia="TimesNewRomanPSMT" w:cs="TimesNewRomanPSMT"/>
        </w:rPr>
      </w:pPr>
      <w:r>
        <w:rPr>
          <w:rFonts w:eastAsia="TimesNewRomanPSMT" w:cs="TimesNewRomanPSMT"/>
        </w:rPr>
        <w:t>Sociální služby jsou chápány jako široký okruh činností, které se zaměřují na pomoc sociálně znevýhodněným členům společnosti. Jejich cílem je zachování co nejvyšší kvality</w:t>
      </w:r>
      <w:r w:rsidRPr="00536409">
        <w:rPr>
          <w:rFonts w:eastAsia="TimesNewRomanPSMT" w:cs="TimesNewRomanPSMT"/>
        </w:rPr>
        <w:t xml:space="preserve"> a důstojnosti života lidí. Mezi nejpočetnější skupiny příjemců sociálních služeb patří zejména senioři,</w:t>
      </w:r>
      <w:r>
        <w:rPr>
          <w:rFonts w:eastAsia="TimesNewRomanPSMT" w:cs="TimesNewRomanPSMT"/>
        </w:rPr>
        <w:t xml:space="preserve"> lidé se zdravotním postižením</w:t>
      </w:r>
      <w:r w:rsidR="00F9794C">
        <w:rPr>
          <w:rFonts w:eastAsia="TimesNewRomanPSMT" w:cs="TimesNewRomanPSMT"/>
        </w:rPr>
        <w:t>,</w:t>
      </w:r>
      <w:r w:rsidR="00B06A14">
        <w:rPr>
          <w:rFonts w:eastAsia="TimesNewRomanPSMT" w:cs="TimesNewRomanPSMT"/>
        </w:rPr>
        <w:t>menšinové skupiny obyvatel, sociálně vyloučené osoby</w:t>
      </w:r>
      <w:r>
        <w:rPr>
          <w:rFonts w:eastAsia="TimesNewRomanPSMT" w:cs="TimesNewRomanPSMT"/>
        </w:rPr>
        <w:t xml:space="preserve"> a </w:t>
      </w:r>
      <w:r w:rsidRPr="00536409">
        <w:rPr>
          <w:rFonts w:eastAsia="TimesNewRomanPSMT" w:cs="TimesNewRomanPSMT"/>
        </w:rPr>
        <w:t>rodiny s</w:t>
      </w:r>
      <w:r>
        <w:rPr>
          <w:rFonts w:eastAsia="TimesNewRomanPSMT" w:cs="TimesNewRomanPSMT"/>
        </w:rPr>
        <w:t> </w:t>
      </w:r>
      <w:r w:rsidRPr="00536409">
        <w:rPr>
          <w:rFonts w:eastAsia="TimesNewRomanPSMT" w:cs="TimesNewRomanPSMT"/>
        </w:rPr>
        <w:t>dětmi</w:t>
      </w:r>
      <w:r>
        <w:rPr>
          <w:rFonts w:eastAsia="TimesNewRomanPSMT" w:cs="TimesNewRomanPSMT"/>
        </w:rPr>
        <w:t>.</w:t>
      </w:r>
    </w:p>
    <w:p w:rsidR="0052172D" w:rsidRDefault="0052172D" w:rsidP="0052172D">
      <w:r w:rsidRPr="00EB3F51">
        <w:lastRenderedPageBreak/>
        <w:t xml:space="preserve">Prostřednictvím sociálních služeb je zajišťována pomoc při péči o vlastní osobu, zajištění stravování, ubytování, pomoc při zajištění chodu domácnosti, ošetřování, pomoc </w:t>
      </w:r>
      <w:r>
        <w:t>s výchovou, poskytnutí informací</w:t>
      </w:r>
      <w:r w:rsidRPr="00EB3F51">
        <w:t>, zprostředkování kontaktu se společenským prostředím, psycho- a socioterapie, pomoc při prosazování práv a zájmů.</w:t>
      </w:r>
      <w:r>
        <w:t xml:space="preserve"> </w:t>
      </w:r>
    </w:p>
    <w:p w:rsidR="0052172D" w:rsidRDefault="0052172D" w:rsidP="0052172D">
      <w:r>
        <w:t xml:space="preserve">Poskytování sociální péče je v současnosti nezbytným prvkem pro udržení stabilního vývoje </w:t>
      </w:r>
      <w:r w:rsidR="00F9794C">
        <w:t>regionu</w:t>
      </w:r>
      <w:r>
        <w:t>. Služby sociální p</w:t>
      </w:r>
      <w:r w:rsidR="00766F41">
        <w:t>éče</w:t>
      </w:r>
      <w:r>
        <w:t xml:space="preserve"> jsou finančně nákladné a vzhledem k nynějšímu demografickému trendu stárnutí </w:t>
      </w:r>
      <w:r w:rsidRPr="00312E6D">
        <w:t>populace</w:t>
      </w:r>
      <w:r w:rsidR="00F34026" w:rsidRPr="00312E6D">
        <w:t xml:space="preserve"> (viz 2.1.1.2 Věková struktura)</w:t>
      </w:r>
      <w:r w:rsidRPr="00312E6D">
        <w:t xml:space="preserve"> bude</w:t>
      </w:r>
      <w:r>
        <w:t xml:space="preserve"> uživatelů těchto s</w:t>
      </w:r>
      <w:r w:rsidR="00B06A14">
        <w:t>lužeb přibývat. Je proto nezbytné</w:t>
      </w:r>
      <w:r>
        <w:t xml:space="preserve"> </w:t>
      </w:r>
      <w:r w:rsidR="00F9794C" w:rsidRPr="00B06A14">
        <w:t>udržet a rozvíjet stávající</w:t>
      </w:r>
      <w:r w:rsidRPr="00754BDA">
        <w:t xml:space="preserve"> síť sociálních služeb v regionu odpovídající skutečným potřebám</w:t>
      </w:r>
      <w:r>
        <w:t xml:space="preserve"> a podporovat stávající poskytovatele této péče.</w:t>
      </w:r>
    </w:p>
    <w:p w:rsidR="00DD7B81" w:rsidRPr="00DD7B81" w:rsidRDefault="00DD7B81" w:rsidP="00DD7B81">
      <w:pPr>
        <w:pStyle w:val="Nadpis5"/>
      </w:pPr>
      <w:r w:rsidRPr="00DD7B81">
        <w:t>Sociální začleňování/vyloučení</w:t>
      </w:r>
    </w:p>
    <w:p w:rsidR="00DD7B81" w:rsidRPr="00DD7B81" w:rsidRDefault="00DD7B81" w:rsidP="00DD7B81">
      <w:pPr>
        <w:rPr>
          <w:b/>
        </w:rPr>
      </w:pPr>
      <w:r w:rsidRPr="00DD7B81">
        <w:rPr>
          <w:b/>
        </w:rPr>
        <w:t>Strukturální příčiny</w:t>
      </w:r>
    </w:p>
    <w:p w:rsidR="00DD7B81" w:rsidRPr="00DD7B81" w:rsidRDefault="00DD7B81" w:rsidP="00DD7B81">
      <w:pPr>
        <w:ind w:left="567"/>
      </w:pPr>
      <w:r w:rsidRPr="00DD7B81">
        <w:t>V regionu působnosti MAS Litomyšlsko dochází k vyloučení některých osob z důvodů plynoucích z charakteru regionu a z demografického vývoje.</w:t>
      </w:r>
    </w:p>
    <w:p w:rsidR="00DD7B81" w:rsidRPr="00DD7B81" w:rsidRDefault="00DD7B81" w:rsidP="00DD7B81">
      <w:pPr>
        <w:ind w:left="567"/>
      </w:pPr>
      <w:r w:rsidRPr="00DD7B81">
        <w:t>Region je tvořen především velkým množstvím malých vesnic s malým počtem obyvatel a relativně vysokým věkovým průměrem. Často také dochází k odlivu mladších obyvatel do větších měst. Z těchto důvodů často dochází k situaci, kdy někteří obyvatelé ve vysokém věků zůstávají ve svých obcích bez svých příbuzných a jsou odkázáni na služby terénních sociálních pracovníků nebo služby domovů pro seniory a domy s pečovatelskou službou.</w:t>
      </w:r>
    </w:p>
    <w:p w:rsidR="00DD7B81" w:rsidRPr="00DD7B81" w:rsidRDefault="00671945" w:rsidP="00DD7B81">
      <w:pPr>
        <w:ind w:left="567"/>
      </w:pPr>
      <w:r>
        <w:t xml:space="preserve">Více o populačním vývoji je uvedeno v kapitole </w:t>
      </w:r>
      <w:r w:rsidRPr="00312E6D">
        <w:t>2.1.1.2 Věková struktura.</w:t>
      </w:r>
    </w:p>
    <w:p w:rsidR="00DD7B81" w:rsidRPr="00DD7B81" w:rsidRDefault="00DD7B81" w:rsidP="00DD7B81">
      <w:pPr>
        <w:rPr>
          <w:b/>
        </w:rPr>
      </w:pPr>
      <w:r w:rsidRPr="00DD7B81">
        <w:rPr>
          <w:b/>
        </w:rPr>
        <w:t>Ekonomické příčiny</w:t>
      </w:r>
    </w:p>
    <w:p w:rsidR="00DD7B81" w:rsidRPr="00DD7B81" w:rsidRDefault="00DD7B81" w:rsidP="00DD7B81">
      <w:pPr>
        <w:ind w:left="567"/>
      </w:pPr>
      <w:r w:rsidRPr="00DD7B81">
        <w:t xml:space="preserve">V regionu rovněž dochází k podobným negativním, ekonomickým jevům, kterým je vystavena celá Česká republika. Na lokální úrovni se projevuje vyloučení některých občanů </w:t>
      </w:r>
      <w:r w:rsidR="00766F41">
        <w:t>ze spotřeby</w:t>
      </w:r>
      <w:r w:rsidRPr="00DD7B81">
        <w:t xml:space="preserve"> některých typů</w:t>
      </w:r>
      <w:r w:rsidR="00766F41">
        <w:t xml:space="preserve"> komerčně poskytovaných</w:t>
      </w:r>
      <w:r w:rsidRPr="00DD7B81">
        <w:t xml:space="preserve"> služeb</w:t>
      </w:r>
      <w:r w:rsidR="00766F41">
        <w:t xml:space="preserve"> a zboží </w:t>
      </w:r>
      <w:r w:rsidRPr="00DD7B81">
        <w:t>, možností i sociálních a komunitních aktivit vlivem finančních problémů. Podobně jako v celé České republice se lidé dostávají do finančních obtíží vlivem ztráty zaměstnání nebo schopnosti pracovat, vlivem nízké finanční gramotnosti i vlivem podvodných nebo klamavých aktivit dalších subjektů.</w:t>
      </w:r>
    </w:p>
    <w:p w:rsidR="00DD7B81" w:rsidRPr="00DD7B81" w:rsidRDefault="00DD7B81" w:rsidP="00DD7B81">
      <w:pPr>
        <w:rPr>
          <w:b/>
        </w:rPr>
      </w:pPr>
      <w:r w:rsidRPr="00DD7B81">
        <w:rPr>
          <w:b/>
        </w:rPr>
        <w:lastRenderedPageBreak/>
        <w:t>Rasové příčiny</w:t>
      </w:r>
      <w:r w:rsidR="00312E6D">
        <w:rPr>
          <w:rStyle w:val="Znakapoznpodarou"/>
          <w:b/>
        </w:rPr>
        <w:footnoteReference w:id="16"/>
      </w:r>
    </w:p>
    <w:p w:rsidR="00DD7B81" w:rsidRPr="00DD7B81" w:rsidRDefault="00DD7B81" w:rsidP="00DD7B81">
      <w:pPr>
        <w:ind w:left="567"/>
      </w:pPr>
      <w:r w:rsidRPr="00DD7B81">
        <w:t>Z rasového hlediska dochází v regionu k jisté separaci pouze ve větších městech. Z tohoto pohledu jsou jako vyloučené lokality hodnoceny pouze některé lokality ve Vysokém Mýtě:</w:t>
      </w:r>
    </w:p>
    <w:p w:rsidR="00DD7B81" w:rsidRPr="00DD7B81" w:rsidRDefault="00DD7B81" w:rsidP="00CF2FBB">
      <w:pPr>
        <w:pStyle w:val="Odstavecseseznamem"/>
        <w:numPr>
          <w:ilvl w:val="0"/>
          <w:numId w:val="5"/>
        </w:numPr>
        <w:ind w:left="1134"/>
      </w:pPr>
      <w:r w:rsidRPr="00DD7B81">
        <w:t>Lokalita A</w:t>
      </w:r>
    </w:p>
    <w:p w:rsidR="00DD7B81" w:rsidRPr="00DD7B81" w:rsidRDefault="00DD7B81" w:rsidP="00DD7B81">
      <w:pPr>
        <w:pStyle w:val="Odstavecseseznamem"/>
        <w:ind w:left="1134"/>
      </w:pPr>
      <w:r w:rsidRPr="00DD7B81">
        <w:t xml:space="preserve">Jedná se o 58 bytů (ve dvou objektech) obývaných z 98 % Romy (konkrétní počet se pohybuje mezi 251 a 300 osobami). Většina obyvatel je zcela závislá na sociálních dávkách. Nezaměstnanost romských obyvatel lokality činí podle odhadů 93 %. </w:t>
      </w:r>
      <w:r w:rsidR="003C6296">
        <w:t>Zásadními</w:t>
      </w:r>
      <w:r w:rsidRPr="00DD7B81">
        <w:t xml:space="preserve"> problémy lokality jsou gamblerství, lichvářství a vysoké zadlužování obyvatel, jevy související s prodejem a užíváním alkoholu a drog.</w:t>
      </w:r>
    </w:p>
    <w:p w:rsidR="00DD7B81" w:rsidRPr="00DD7B81" w:rsidRDefault="00DD7B81" w:rsidP="00DD7B81">
      <w:pPr>
        <w:pStyle w:val="Odstavecseseznamem"/>
        <w:ind w:left="1134"/>
      </w:pPr>
      <w:r w:rsidRPr="00DD7B81">
        <w:t>Péči této lokalitě věnuje nestátní nezisková organizace Naděje.</w:t>
      </w:r>
    </w:p>
    <w:p w:rsidR="00DD7B81" w:rsidRPr="00DD7B81" w:rsidRDefault="00DD7B81" w:rsidP="00CF2FBB">
      <w:pPr>
        <w:pStyle w:val="Odstavecseseznamem"/>
        <w:numPr>
          <w:ilvl w:val="0"/>
          <w:numId w:val="5"/>
        </w:numPr>
        <w:ind w:left="1134"/>
      </w:pPr>
      <w:r w:rsidRPr="00DD7B81">
        <w:t>Lokalita B</w:t>
      </w:r>
    </w:p>
    <w:p w:rsidR="00DD7B81" w:rsidRPr="00DD7B81" w:rsidRDefault="00DD7B81" w:rsidP="00DD7B81">
      <w:pPr>
        <w:pStyle w:val="Odstavecseseznamem"/>
        <w:ind w:left="1134"/>
      </w:pPr>
      <w:r w:rsidRPr="00DD7B81">
        <w:t>Jde o jeden dům o čtyřech holobytech, který je obývaný 15 - 25 Romy. V lokalitě nejsou zaznamenávány neobvyklé sociální problémy nebo kriminalita. Přesto jsou obyvatelé kvůli odhadované 100% nezaměstnanosti závisl</w:t>
      </w:r>
      <w:r w:rsidR="00E53181">
        <w:t>í</w:t>
      </w:r>
      <w:r w:rsidRPr="00DD7B81">
        <w:t xml:space="preserve"> na sociálních dávkách.</w:t>
      </w:r>
    </w:p>
    <w:p w:rsidR="00DD7B81" w:rsidRPr="00DD7B81" w:rsidRDefault="00DD7B81" w:rsidP="00DD7B81">
      <w:pPr>
        <w:pStyle w:val="Odstavecseseznamem"/>
        <w:ind w:left="720"/>
      </w:pPr>
      <w:r w:rsidRPr="00DD7B81">
        <w:t>Lokalitě se věnuje sociální pracovník.</w:t>
      </w:r>
    </w:p>
    <w:p w:rsidR="00DD7B81" w:rsidRPr="00DD7B81" w:rsidRDefault="00DD7B81" w:rsidP="00CF2FBB">
      <w:pPr>
        <w:pStyle w:val="Odstavecseseznamem"/>
        <w:numPr>
          <w:ilvl w:val="0"/>
          <w:numId w:val="5"/>
        </w:numPr>
        <w:ind w:left="1134"/>
      </w:pPr>
      <w:r w:rsidRPr="00DD7B81">
        <w:t>Lokal</w:t>
      </w:r>
      <w:r w:rsidR="0057106C">
        <w:t>it</w:t>
      </w:r>
      <w:r w:rsidRPr="00DD7B81">
        <w:t>a C</w:t>
      </w:r>
    </w:p>
    <w:p w:rsidR="00DD7B81" w:rsidRPr="00DD7B81" w:rsidRDefault="00DD7B81" w:rsidP="00DD7B81">
      <w:pPr>
        <w:pStyle w:val="Odstavecseseznamem"/>
        <w:ind w:left="1134"/>
      </w:pPr>
      <w:r w:rsidRPr="00DD7B81">
        <w:t>Lokalita je obývána cca 51 – 75 romskými obyvateli, jejichž podíl na obyvatelstvu lokality činí 75 %. Všichni obývají 9 bytů v jedné budově. Oficiální odhad nezaměstnanosti romských obyvatel je 100 % a je tak vysoká závislost na sociálních dávkách.</w:t>
      </w:r>
    </w:p>
    <w:p w:rsidR="00DD7B81" w:rsidRPr="00DD7B81" w:rsidRDefault="00DD7B81" w:rsidP="00DD7B81">
      <w:pPr>
        <w:pStyle w:val="Odstavecseseznamem"/>
        <w:ind w:left="1134"/>
      </w:pPr>
      <w:r w:rsidRPr="00DD7B81">
        <w:t>V lokalitě působí asistentka pedagoga a jsou organizovány vo</w:t>
      </w:r>
      <w:r w:rsidR="00EA0E27">
        <w:t>lnočasové a motivační aktivity.</w:t>
      </w:r>
    </w:p>
    <w:p w:rsidR="00DD7B81" w:rsidRPr="00DD7B81" w:rsidRDefault="00DD7B81" w:rsidP="00DD7B81">
      <w:pPr>
        <w:ind w:left="1123"/>
      </w:pPr>
      <w:r w:rsidRPr="00DD7B81">
        <w:lastRenderedPageBreak/>
        <w:t xml:space="preserve">Ve Vysokém Mýtě rovněž od roku 2013 fungují terénní služby, které se věnují komunitám vyloučeným z rasových důvodů (více </w:t>
      </w:r>
      <w:r w:rsidRPr="00671945">
        <w:t xml:space="preserve">viz </w:t>
      </w:r>
      <w:r w:rsidR="00671945">
        <w:t>níže</w:t>
      </w:r>
      <w:r w:rsidRPr="00DD7B81">
        <w:t>).</w:t>
      </w:r>
    </w:p>
    <w:p w:rsidR="00DD7B81" w:rsidRDefault="00DD7B81" w:rsidP="0052172D">
      <w:r>
        <w:t>K eliminaci výše zmíněných problémů jsou v regionu poskytovány zejména níže popsané sociální služby.</w:t>
      </w:r>
    </w:p>
    <w:p w:rsidR="00F34026" w:rsidRDefault="00F34026" w:rsidP="00F34026">
      <w:pPr>
        <w:pStyle w:val="Nadpis5"/>
      </w:pPr>
      <w:r>
        <w:t>Sociální služby v regionu</w:t>
      </w:r>
    </w:p>
    <w:p w:rsidR="0052172D" w:rsidRDefault="0052172D" w:rsidP="0052172D">
      <w:r>
        <w:t xml:space="preserve">Na území působnosti MAS Litomyšlsko se nachází několik zařízení a center specializující se na různé oblasti sociální péče. </w:t>
      </w:r>
    </w:p>
    <w:p w:rsidR="0052172D" w:rsidRDefault="0052172D" w:rsidP="0052172D">
      <w:r>
        <w:t>Přehled sociálních služeb a jejich typů podává tabulka níže.</w:t>
      </w:r>
    </w:p>
    <w:tbl>
      <w:tblPr>
        <w:tblW w:w="8843" w:type="dxa"/>
        <w:tblInd w:w="54" w:type="dxa"/>
        <w:tblCellMar>
          <w:left w:w="70" w:type="dxa"/>
          <w:right w:w="70" w:type="dxa"/>
        </w:tblCellMar>
        <w:tblLook w:val="04A0"/>
      </w:tblPr>
      <w:tblGrid>
        <w:gridCol w:w="983"/>
        <w:gridCol w:w="6900"/>
        <w:gridCol w:w="960"/>
      </w:tblGrid>
      <w:tr w:rsidR="00B06A14" w:rsidRPr="00D975F6" w:rsidTr="00B06A14">
        <w:trPr>
          <w:trHeight w:val="315"/>
        </w:trPr>
        <w:tc>
          <w:tcPr>
            <w:tcW w:w="98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w:t>
            </w:r>
          </w:p>
        </w:tc>
        <w:tc>
          <w:tcPr>
            <w:tcW w:w="6900" w:type="dxa"/>
            <w:tcBorders>
              <w:top w:val="single" w:sz="4" w:space="0" w:color="auto"/>
              <w:left w:val="nil"/>
              <w:bottom w:val="single" w:sz="8" w:space="0" w:color="auto"/>
              <w:right w:val="nil"/>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Sociální poradenství </w:t>
            </w:r>
          </w:p>
        </w:tc>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1</w:t>
            </w:r>
          </w:p>
        </w:tc>
      </w:tr>
      <w:tr w:rsidR="00B06A14" w:rsidRPr="00D975F6" w:rsidTr="00B06A14">
        <w:trPr>
          <w:trHeight w:val="315"/>
        </w:trPr>
        <w:tc>
          <w:tcPr>
            <w:tcW w:w="983" w:type="dxa"/>
            <w:tcBorders>
              <w:top w:val="nil"/>
              <w:left w:val="single" w:sz="4" w:space="0" w:color="auto"/>
              <w:bottom w:val="single" w:sz="8" w:space="0" w:color="000000"/>
              <w:right w:val="single" w:sz="8" w:space="0" w:color="auto"/>
            </w:tcBorders>
            <w:shd w:val="clear" w:color="auto" w:fill="auto"/>
            <w:noWrap/>
            <w:textDirection w:val="btLr"/>
            <w:vAlign w:val="center"/>
            <w:hideMark/>
          </w:tcPr>
          <w:p w:rsidR="00B06A14" w:rsidRPr="00D975F6" w:rsidRDefault="00B06A14" w:rsidP="002D589F">
            <w:pPr>
              <w:spacing w:after="0"/>
              <w:jc w:val="center"/>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Pr>
                <w:rFonts w:ascii="Calibri" w:hAnsi="Calibri"/>
                <w:color w:val="000000"/>
                <w:lang w:eastAsia="cs-CZ"/>
              </w:rPr>
              <w:t>Služby sociální</w:t>
            </w:r>
            <w:r w:rsidRPr="00D975F6">
              <w:rPr>
                <w:rFonts w:ascii="Calibri" w:hAnsi="Calibri"/>
                <w:color w:val="000000"/>
                <w:lang w:eastAsia="cs-CZ"/>
              </w:rPr>
              <w:t xml:space="preserve"> péče</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r w:rsidR="00177364">
              <w:rPr>
                <w:rFonts w:ascii="Calibri" w:hAnsi="Calibri"/>
                <w:color w:val="000000"/>
                <w:lang w:eastAsia="cs-CZ"/>
              </w:rPr>
              <w:t>9</w:t>
            </w:r>
          </w:p>
        </w:tc>
      </w:tr>
      <w:tr w:rsidR="00B06A14" w:rsidRPr="00D975F6" w:rsidTr="00B06A14">
        <w:trPr>
          <w:trHeight w:val="300"/>
        </w:trPr>
        <w:tc>
          <w:tcPr>
            <w:tcW w:w="983" w:type="dxa"/>
            <w:vMerge w:val="restart"/>
            <w:tcBorders>
              <w:top w:val="nil"/>
              <w:left w:val="single" w:sz="4" w:space="0" w:color="auto"/>
              <w:bottom w:val="single" w:sz="8" w:space="0" w:color="000000"/>
              <w:right w:val="single" w:sz="8" w:space="0" w:color="auto"/>
            </w:tcBorders>
            <w:noWrap/>
            <w:textDirection w:val="btLr"/>
            <w:vAlign w:val="center"/>
            <w:hideMark/>
          </w:tcPr>
          <w:p w:rsidR="00B06A14" w:rsidRPr="00D975F6" w:rsidRDefault="00B06A14" w:rsidP="00F34026">
            <w:pPr>
              <w:spacing w:after="0"/>
              <w:jc w:val="center"/>
              <w:rPr>
                <w:rFonts w:ascii="Calibri" w:hAnsi="Calibri"/>
                <w:b/>
                <w:bCs/>
                <w:color w:val="000000"/>
                <w:lang w:eastAsia="cs-CZ"/>
              </w:rPr>
            </w:pPr>
            <w:r w:rsidRPr="00D975F6">
              <w:rPr>
                <w:rFonts w:ascii="Calibri" w:hAnsi="Calibri"/>
                <w:b/>
                <w:bCs/>
                <w:color w:val="000000"/>
                <w:lang w:eastAsia="cs-CZ"/>
              </w:rPr>
              <w:t>Služby sociální péče</w:t>
            </w: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Osobní a</w:t>
            </w:r>
            <w:r>
              <w:rPr>
                <w:rFonts w:ascii="Calibri" w:hAnsi="Calibri"/>
                <w:color w:val="000000"/>
                <w:lang w:eastAsia="cs-CZ"/>
              </w:rPr>
              <w:t>s</w:t>
            </w:r>
            <w:r w:rsidRPr="00D975F6">
              <w:rPr>
                <w:rFonts w:ascii="Calibri" w:hAnsi="Calibri"/>
                <w:color w:val="000000"/>
                <w:lang w:eastAsia="cs-CZ"/>
              </w:rPr>
              <w:t>isten</w:t>
            </w:r>
            <w:r w:rsidR="00476FDC">
              <w:rPr>
                <w:rFonts w:ascii="Calibri" w:hAnsi="Calibri"/>
                <w:color w:val="000000"/>
                <w:lang w:eastAsia="cs-CZ"/>
              </w:rPr>
              <w:t>ce</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2</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Pečovatelská služba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5</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Tísňová péče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Průvodcovské a předčitatelské služby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Podpora samostatného bydlení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Odlehčovací služby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2</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Centra denních služeb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Denní stacionáře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3</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Týdenní stacionáře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Domovy pro osoby se zdravotním postižením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Domovy pro seniory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4</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Domovy se zvláštním režimem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Chráněné bydlení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8" w:space="0" w:color="auto"/>
              <w:right w:val="nil"/>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Sociální služby poskytované ve zdravotnických zařízeních ústavní péče </w:t>
            </w:r>
          </w:p>
        </w:tc>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15"/>
        </w:trPr>
        <w:tc>
          <w:tcPr>
            <w:tcW w:w="983" w:type="dxa"/>
            <w:vMerge/>
            <w:tcBorders>
              <w:top w:val="nil"/>
              <w:left w:val="single" w:sz="4" w:space="0" w:color="auto"/>
              <w:bottom w:val="single" w:sz="8" w:space="0" w:color="000000"/>
              <w:right w:val="single" w:sz="8" w:space="0" w:color="auto"/>
            </w:tcBorders>
            <w:shd w:val="clear" w:color="auto" w:fill="auto"/>
            <w:textDirection w:val="btLr"/>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Raná péče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val="restart"/>
            <w:tcBorders>
              <w:top w:val="nil"/>
              <w:left w:val="single" w:sz="4" w:space="0" w:color="auto"/>
              <w:bottom w:val="single" w:sz="8" w:space="0" w:color="000000"/>
              <w:right w:val="single" w:sz="8" w:space="0" w:color="auto"/>
            </w:tcBorders>
            <w:noWrap/>
            <w:textDirection w:val="btLr"/>
            <w:vAlign w:val="center"/>
            <w:hideMark/>
          </w:tcPr>
          <w:p w:rsidR="00B06A14" w:rsidRPr="00D975F6" w:rsidRDefault="00B06A14" w:rsidP="00B06A14">
            <w:pPr>
              <w:spacing w:after="0"/>
              <w:ind w:left="113" w:right="113"/>
              <w:jc w:val="center"/>
              <w:rPr>
                <w:rFonts w:ascii="Calibri" w:hAnsi="Calibri"/>
                <w:b/>
                <w:bCs/>
                <w:color w:val="000000"/>
                <w:lang w:eastAsia="cs-CZ"/>
              </w:rPr>
            </w:pPr>
            <w:r w:rsidRPr="00D975F6">
              <w:rPr>
                <w:rFonts w:ascii="Calibri" w:hAnsi="Calibri"/>
                <w:b/>
                <w:bCs/>
                <w:color w:val="000000"/>
                <w:lang w:eastAsia="cs-CZ"/>
              </w:rPr>
              <w:t>Služby sociální prevence</w:t>
            </w: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Telefonická krizová pomoc </w:t>
            </w:r>
            <w:r w:rsidR="00177364">
              <w:rPr>
                <w:rStyle w:val="Znakapoznpodarou"/>
                <w:rFonts w:ascii="Calibri" w:hAnsi="Calibri"/>
                <w:color w:val="000000"/>
                <w:lang w:eastAsia="cs-CZ"/>
              </w:rPr>
              <w:footnoteReference w:id="17"/>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Tlumočnické služby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Azylové domy </w:t>
            </w:r>
            <w:r w:rsidR="00177364">
              <w:rPr>
                <w:rStyle w:val="Znakapoznpodarou"/>
                <w:rFonts w:ascii="Calibri" w:hAnsi="Calibri"/>
                <w:color w:val="000000"/>
                <w:lang w:eastAsia="cs-CZ"/>
              </w:rPr>
              <w:footnoteReference w:id="18"/>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Domy na půl cesty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Kontaktní centra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Krizová pomoc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Intervenční centra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Nízkoprahová denní centra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Nízkoprahová zařízení pro děti a mládež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2</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Noclehárny </w:t>
            </w:r>
            <w:r w:rsidR="00FD7711">
              <w:rPr>
                <w:rStyle w:val="Znakapoznpodarou"/>
                <w:rFonts w:ascii="Calibri" w:hAnsi="Calibri"/>
                <w:color w:val="000000"/>
                <w:lang w:eastAsia="cs-CZ"/>
              </w:rPr>
              <w:footnoteReference w:id="19"/>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Služby následné péče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Sociálně aktivizační služby pro rodiny s dětmi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2</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Sociálně aktivizační služby pro seniory a osoby se zdravotním postižením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Sociálně terapeutické dílny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Terapeutické komunity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Terénní programy </w:t>
            </w:r>
          </w:p>
        </w:tc>
        <w:tc>
          <w:tcPr>
            <w:tcW w:w="960" w:type="dxa"/>
            <w:tcBorders>
              <w:top w:val="nil"/>
              <w:left w:val="nil"/>
              <w:bottom w:val="single" w:sz="4"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1</w:t>
            </w:r>
          </w:p>
        </w:tc>
      </w:tr>
      <w:tr w:rsidR="00B06A14" w:rsidRPr="00D975F6" w:rsidTr="00B06A14">
        <w:trPr>
          <w:trHeight w:val="300"/>
        </w:trPr>
        <w:tc>
          <w:tcPr>
            <w:tcW w:w="983" w:type="dxa"/>
            <w:vMerge/>
            <w:tcBorders>
              <w:top w:val="nil"/>
              <w:left w:val="single" w:sz="4" w:space="0" w:color="auto"/>
              <w:bottom w:val="single" w:sz="8" w:space="0" w:color="000000"/>
              <w:right w:val="single" w:sz="8" w:space="0" w:color="auto"/>
            </w:tcBorders>
            <w:vAlign w:val="center"/>
            <w:hideMark/>
          </w:tcPr>
          <w:p w:rsidR="00B06A14" w:rsidRPr="00D975F6" w:rsidRDefault="00B06A14" w:rsidP="002D589F">
            <w:pPr>
              <w:spacing w:after="0"/>
              <w:jc w:val="left"/>
              <w:rPr>
                <w:rFonts w:ascii="Calibri" w:hAnsi="Calibri"/>
                <w:b/>
                <w:bCs/>
                <w:color w:val="000000"/>
                <w:lang w:eastAsia="cs-CZ"/>
              </w:rPr>
            </w:pPr>
          </w:p>
        </w:tc>
        <w:tc>
          <w:tcPr>
            <w:tcW w:w="6900" w:type="dxa"/>
            <w:tcBorders>
              <w:top w:val="nil"/>
              <w:left w:val="nil"/>
              <w:bottom w:val="single" w:sz="8" w:space="0" w:color="auto"/>
              <w:right w:val="single" w:sz="4" w:space="0" w:color="auto"/>
            </w:tcBorders>
            <w:shd w:val="clear" w:color="auto" w:fill="auto"/>
            <w:noWrap/>
            <w:vAlign w:val="bottom"/>
            <w:hideMark/>
          </w:tcPr>
          <w:p w:rsidR="00B06A14" w:rsidRPr="00D975F6" w:rsidRDefault="00B06A14" w:rsidP="002D589F">
            <w:pPr>
              <w:spacing w:after="0"/>
              <w:jc w:val="left"/>
              <w:rPr>
                <w:rFonts w:ascii="Calibri" w:hAnsi="Calibri"/>
                <w:color w:val="000000"/>
                <w:lang w:eastAsia="cs-CZ"/>
              </w:rPr>
            </w:pPr>
            <w:r w:rsidRPr="00D975F6">
              <w:rPr>
                <w:rFonts w:ascii="Calibri" w:hAnsi="Calibri"/>
                <w:color w:val="000000"/>
                <w:lang w:eastAsia="cs-CZ"/>
              </w:rPr>
              <w:t xml:space="preserve">Sociální rehabilitace </w:t>
            </w:r>
          </w:p>
        </w:tc>
        <w:tc>
          <w:tcPr>
            <w:tcW w:w="960" w:type="dxa"/>
            <w:tcBorders>
              <w:top w:val="nil"/>
              <w:left w:val="nil"/>
              <w:bottom w:val="single" w:sz="8" w:space="0" w:color="auto"/>
              <w:right w:val="single" w:sz="4" w:space="0" w:color="auto"/>
            </w:tcBorders>
            <w:shd w:val="clear" w:color="auto" w:fill="auto"/>
            <w:noWrap/>
            <w:vAlign w:val="bottom"/>
            <w:hideMark/>
          </w:tcPr>
          <w:p w:rsidR="00B06A14" w:rsidRPr="00D975F6" w:rsidRDefault="00B06A14" w:rsidP="002D589F">
            <w:pPr>
              <w:spacing w:after="0"/>
              <w:jc w:val="right"/>
              <w:rPr>
                <w:rFonts w:ascii="Calibri" w:hAnsi="Calibri"/>
                <w:color w:val="000000"/>
                <w:lang w:eastAsia="cs-CZ"/>
              </w:rPr>
            </w:pPr>
            <w:r w:rsidRPr="00D975F6">
              <w:rPr>
                <w:rFonts w:ascii="Calibri" w:hAnsi="Calibri"/>
                <w:color w:val="000000"/>
                <w:lang w:eastAsia="cs-CZ"/>
              </w:rPr>
              <w:t>0</w:t>
            </w:r>
          </w:p>
        </w:tc>
      </w:tr>
    </w:tbl>
    <w:p w:rsidR="0052172D" w:rsidRDefault="0052172D" w:rsidP="0052172D">
      <w:r>
        <w:t xml:space="preserve">Tab.: </w:t>
      </w:r>
      <w:r w:rsidRPr="00252697">
        <w:t>Počet jednotlivých typů sociálních služeb</w:t>
      </w:r>
      <w:r w:rsidR="00EA0E27">
        <w:rPr>
          <w:rStyle w:val="Znakapoznpodarou"/>
        </w:rPr>
        <w:footnoteReference w:id="20"/>
      </w:r>
    </w:p>
    <w:p w:rsidR="00F34026" w:rsidRPr="00C83201" w:rsidRDefault="00F34026" w:rsidP="00F34026">
      <w:pPr>
        <w:rPr>
          <w:u w:val="single"/>
        </w:rPr>
      </w:pPr>
      <w:r w:rsidRPr="00C83201">
        <w:rPr>
          <w:u w:val="single"/>
        </w:rPr>
        <w:t>Pečovatelská služba</w:t>
      </w:r>
    </w:p>
    <w:p w:rsidR="00F34026" w:rsidRDefault="00F34026" w:rsidP="00F34026">
      <w:r>
        <w:t xml:space="preserve">Další sociální pomocí řadící se do terénních služeb jsou pečovatelské služby. Tato služba je zaměřena na </w:t>
      </w:r>
      <w:r w:rsidR="00296D55">
        <w:t>klienty s omezenými možnostmi a schopnostmi (od dětských klientů po seniory)</w:t>
      </w:r>
      <w:r>
        <w:t xml:space="preserve"> a nabízí jim pomoc při zvládání běžných úkonů: péče o vlastní osobu, pomoc při osobní hygieně nebo poskytnutí podmínek pro osobní hygienu, poskytnutí stravy nebo pomoc při zajištění stravy, pomoc při zajištění chodu domácnosti, zprostředkování kontaktu se společenským prostředím nebo nadstandardní služby. V rámci území působnosti MAS zabezpečuje pečovatelskou službu celkem pět subjektů (Farní charita Dolní Újezd, Farní charita Litomyšl, Farní charita Nové Hrady u Skutče, Pečovatelská služba Proseč u Skutče a Pe</w:t>
      </w:r>
      <w:r w:rsidR="00EA0E27">
        <w:t>čovatelská služba Vysoké Mýto).</w:t>
      </w:r>
      <w:r w:rsidR="00EA0E27" w:rsidRPr="00EA0E27">
        <w:rPr>
          <w:rStyle w:val="Znakapoznpodarou"/>
        </w:rPr>
        <w:t xml:space="preserve"> </w:t>
      </w:r>
      <w:r w:rsidR="00EA0E27">
        <w:rPr>
          <w:rStyle w:val="Znakapoznpodarou"/>
        </w:rPr>
        <w:footnoteReference w:id="21"/>
      </w:r>
    </w:p>
    <w:p w:rsidR="00F34026" w:rsidRDefault="00F34026" w:rsidP="00F34026">
      <w:r w:rsidRPr="002641F8">
        <w:lastRenderedPageBreak/>
        <w:t>V oblasti je celkem značný počet poskytovatelů této služby. Soudobý vývoj ukazuje vzrůst počtu uživatelů této služby</w:t>
      </w:r>
      <w:r w:rsidR="00B01AF2">
        <w:t xml:space="preserve">. Výjimku tvoří mírné snížení v roce 2013, které je ale oproti nastavenému trendu zanedbatelné. </w:t>
      </w:r>
    </w:p>
    <w:p w:rsidR="00B01AF2" w:rsidRDefault="00B01AF2" w:rsidP="00F34026">
      <w:r>
        <w:t>Tento typ služeb se vyznačuje vysokou pružností. Například oproti poskytování pobytových služeb, kde při navyšování kapacity jsou nezbytné stavební úpravy nebo výstavba nových objektů, terénní pečovatelská služba umožňuje reakce na poptávku pouze rozšířením personálních kapacit případně vybavení (při respektování finančních limitů).</w:t>
      </w:r>
    </w:p>
    <w:tbl>
      <w:tblPr>
        <w:tblW w:w="6720" w:type="dxa"/>
        <w:tblInd w:w="60" w:type="dxa"/>
        <w:tblCellMar>
          <w:left w:w="70" w:type="dxa"/>
          <w:right w:w="70" w:type="dxa"/>
        </w:tblCellMar>
        <w:tblLook w:val="04A0"/>
      </w:tblPr>
      <w:tblGrid>
        <w:gridCol w:w="1920"/>
        <w:gridCol w:w="966"/>
        <w:gridCol w:w="956"/>
        <w:gridCol w:w="956"/>
        <w:gridCol w:w="956"/>
        <w:gridCol w:w="966"/>
      </w:tblGrid>
      <w:tr w:rsidR="00F34026" w:rsidRPr="00C83201" w:rsidTr="00F34026">
        <w:trPr>
          <w:trHeight w:val="300"/>
        </w:trPr>
        <w:tc>
          <w:tcPr>
            <w:tcW w:w="1920" w:type="dxa"/>
            <w:tcBorders>
              <w:top w:val="single" w:sz="8" w:space="0" w:color="auto"/>
              <w:left w:val="single" w:sz="8" w:space="0" w:color="auto"/>
              <w:bottom w:val="single" w:sz="4" w:space="0" w:color="auto"/>
              <w:right w:val="nil"/>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 </w:t>
            </w:r>
          </w:p>
        </w:tc>
        <w:tc>
          <w:tcPr>
            <w:tcW w:w="480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Počet uživatelů/ rok</w:t>
            </w:r>
          </w:p>
        </w:tc>
      </w:tr>
      <w:tr w:rsidR="00F34026" w:rsidRPr="00C83201" w:rsidTr="00F34026">
        <w:trPr>
          <w:trHeight w:val="315"/>
        </w:trPr>
        <w:tc>
          <w:tcPr>
            <w:tcW w:w="1920" w:type="dxa"/>
            <w:tcBorders>
              <w:top w:val="nil"/>
              <w:left w:val="single" w:sz="8" w:space="0" w:color="auto"/>
              <w:bottom w:val="nil"/>
              <w:right w:val="nil"/>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 </w:t>
            </w:r>
          </w:p>
        </w:tc>
        <w:tc>
          <w:tcPr>
            <w:tcW w:w="966" w:type="dxa"/>
            <w:tcBorders>
              <w:top w:val="nil"/>
              <w:left w:val="single" w:sz="8" w:space="0" w:color="auto"/>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2009</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2010</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2011</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2012</w:t>
            </w:r>
          </w:p>
        </w:tc>
        <w:tc>
          <w:tcPr>
            <w:tcW w:w="966" w:type="dxa"/>
            <w:tcBorders>
              <w:top w:val="nil"/>
              <w:left w:val="nil"/>
              <w:bottom w:val="single" w:sz="8"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2013</w:t>
            </w:r>
          </w:p>
        </w:tc>
      </w:tr>
      <w:tr w:rsidR="00F34026" w:rsidRPr="00C83201" w:rsidTr="00F34026">
        <w:trPr>
          <w:trHeight w:val="30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Proseč</w:t>
            </w:r>
          </w:p>
        </w:tc>
        <w:tc>
          <w:tcPr>
            <w:tcW w:w="96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0</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0</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60</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63</w:t>
            </w:r>
          </w:p>
        </w:tc>
        <w:tc>
          <w:tcPr>
            <w:tcW w:w="966" w:type="dxa"/>
            <w:tcBorders>
              <w:top w:val="nil"/>
              <w:left w:val="nil"/>
              <w:bottom w:val="single" w:sz="4"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56</w:t>
            </w:r>
          </w:p>
        </w:tc>
      </w:tr>
      <w:tr w:rsidR="00F34026" w:rsidRPr="00C83201" w:rsidTr="00F34026">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Dolní Újezd</w:t>
            </w:r>
          </w:p>
        </w:tc>
        <w:tc>
          <w:tcPr>
            <w:tcW w:w="96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62</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59</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64</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67</w:t>
            </w:r>
          </w:p>
        </w:tc>
        <w:tc>
          <w:tcPr>
            <w:tcW w:w="966" w:type="dxa"/>
            <w:tcBorders>
              <w:top w:val="nil"/>
              <w:left w:val="nil"/>
              <w:bottom w:val="single" w:sz="4"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64</w:t>
            </w:r>
          </w:p>
        </w:tc>
      </w:tr>
      <w:tr w:rsidR="00F34026" w:rsidRPr="00C83201" w:rsidTr="00F34026">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Litomyšl</w:t>
            </w:r>
          </w:p>
        </w:tc>
        <w:tc>
          <w:tcPr>
            <w:tcW w:w="96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74</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76</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79</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86</w:t>
            </w:r>
          </w:p>
        </w:tc>
        <w:tc>
          <w:tcPr>
            <w:tcW w:w="966" w:type="dxa"/>
            <w:tcBorders>
              <w:top w:val="nil"/>
              <w:left w:val="nil"/>
              <w:bottom w:val="single" w:sz="4"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89</w:t>
            </w:r>
          </w:p>
        </w:tc>
      </w:tr>
      <w:tr w:rsidR="00F34026" w:rsidRPr="00C83201" w:rsidTr="00F34026">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Nové Hrady</w:t>
            </w:r>
          </w:p>
        </w:tc>
        <w:tc>
          <w:tcPr>
            <w:tcW w:w="96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N</w:t>
            </w:r>
            <w:r>
              <w:rPr>
                <w:rFonts w:ascii="Calibri" w:hAnsi="Calibri"/>
                <w:color w:val="000000"/>
                <w:lang w:eastAsia="cs-CZ"/>
              </w:rPr>
              <w:t>/</w:t>
            </w:r>
            <w:r w:rsidRPr="00C83201">
              <w:rPr>
                <w:rFonts w:ascii="Calibri" w:hAnsi="Calibri"/>
                <w:color w:val="000000"/>
                <w:lang w:eastAsia="cs-CZ"/>
              </w:rPr>
              <w:t>A</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40</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45</w:t>
            </w:r>
          </w:p>
        </w:tc>
        <w:tc>
          <w:tcPr>
            <w:tcW w:w="956" w:type="dxa"/>
            <w:tcBorders>
              <w:top w:val="nil"/>
              <w:left w:val="nil"/>
              <w:bottom w:val="single" w:sz="4"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300</w:t>
            </w:r>
          </w:p>
        </w:tc>
        <w:tc>
          <w:tcPr>
            <w:tcW w:w="966" w:type="dxa"/>
            <w:tcBorders>
              <w:top w:val="nil"/>
              <w:left w:val="nil"/>
              <w:bottom w:val="single" w:sz="4"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303</w:t>
            </w:r>
          </w:p>
        </w:tc>
      </w:tr>
      <w:tr w:rsidR="00F34026" w:rsidRPr="00C83201" w:rsidTr="00F34026">
        <w:trPr>
          <w:trHeight w:val="315"/>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Vysoké Mýto</w:t>
            </w:r>
          </w:p>
        </w:tc>
        <w:tc>
          <w:tcPr>
            <w:tcW w:w="96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210</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210</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210</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107</w:t>
            </w:r>
          </w:p>
        </w:tc>
        <w:tc>
          <w:tcPr>
            <w:tcW w:w="966" w:type="dxa"/>
            <w:tcBorders>
              <w:top w:val="nil"/>
              <w:left w:val="nil"/>
              <w:bottom w:val="single" w:sz="8"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96</w:t>
            </w:r>
          </w:p>
        </w:tc>
      </w:tr>
      <w:tr w:rsidR="00F34026" w:rsidRPr="00C83201" w:rsidTr="00F34026">
        <w:trPr>
          <w:trHeight w:val="315"/>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F34026" w:rsidRPr="00C83201" w:rsidRDefault="00F34026" w:rsidP="00F34026">
            <w:pPr>
              <w:spacing w:after="0"/>
              <w:jc w:val="left"/>
              <w:rPr>
                <w:rFonts w:ascii="Calibri" w:hAnsi="Calibri"/>
                <w:color w:val="000000"/>
                <w:lang w:eastAsia="cs-CZ"/>
              </w:rPr>
            </w:pPr>
            <w:r w:rsidRPr="00C83201">
              <w:rPr>
                <w:rFonts w:ascii="Calibri" w:hAnsi="Calibri"/>
                <w:color w:val="000000"/>
                <w:lang w:eastAsia="cs-CZ"/>
              </w:rPr>
              <w:t xml:space="preserve">celkem </w:t>
            </w:r>
          </w:p>
        </w:tc>
        <w:tc>
          <w:tcPr>
            <w:tcW w:w="96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346</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385</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458</w:t>
            </w:r>
          </w:p>
        </w:tc>
        <w:tc>
          <w:tcPr>
            <w:tcW w:w="956" w:type="dxa"/>
            <w:tcBorders>
              <w:top w:val="nil"/>
              <w:left w:val="nil"/>
              <w:bottom w:val="single" w:sz="8" w:space="0" w:color="auto"/>
              <w:right w:val="single" w:sz="4"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623</w:t>
            </w:r>
          </w:p>
        </w:tc>
        <w:tc>
          <w:tcPr>
            <w:tcW w:w="966" w:type="dxa"/>
            <w:tcBorders>
              <w:top w:val="nil"/>
              <w:left w:val="nil"/>
              <w:bottom w:val="single" w:sz="8" w:space="0" w:color="auto"/>
              <w:right w:val="single" w:sz="8" w:space="0" w:color="auto"/>
            </w:tcBorders>
            <w:shd w:val="clear" w:color="auto" w:fill="auto"/>
            <w:noWrap/>
            <w:vAlign w:val="bottom"/>
            <w:hideMark/>
          </w:tcPr>
          <w:p w:rsidR="00F34026" w:rsidRPr="00C83201" w:rsidRDefault="00F34026" w:rsidP="00F34026">
            <w:pPr>
              <w:spacing w:after="0"/>
              <w:jc w:val="center"/>
              <w:rPr>
                <w:rFonts w:ascii="Calibri" w:hAnsi="Calibri"/>
                <w:color w:val="000000"/>
                <w:lang w:eastAsia="cs-CZ"/>
              </w:rPr>
            </w:pPr>
            <w:r w:rsidRPr="00C83201">
              <w:rPr>
                <w:rFonts w:ascii="Calibri" w:hAnsi="Calibri"/>
                <w:color w:val="000000"/>
                <w:lang w:eastAsia="cs-CZ"/>
              </w:rPr>
              <w:t>608</w:t>
            </w:r>
          </w:p>
        </w:tc>
      </w:tr>
    </w:tbl>
    <w:p w:rsidR="00F34026" w:rsidRDefault="00F34026" w:rsidP="00F34026">
      <w:r>
        <w:t>Tab.: Pečovatelská služba a vývoj počtu uživatelů</w:t>
      </w:r>
      <w:r w:rsidR="00EA0E27">
        <w:rPr>
          <w:rStyle w:val="Znakapoznpodarou"/>
        </w:rPr>
        <w:footnoteReference w:id="22"/>
      </w:r>
    </w:p>
    <w:p w:rsidR="00F34026" w:rsidRDefault="00296D55" w:rsidP="00F34026">
      <w:r>
        <w:t>Mimo jiné také se</w:t>
      </w:r>
      <w:r w:rsidR="00F34026">
        <w:t> </w:t>
      </w:r>
      <w:r>
        <w:t>stárnutím populace</w:t>
      </w:r>
      <w:r w:rsidR="00F34026">
        <w:t xml:space="preserve"> se zhoršuje i schopnost adaptace na nové prostředí, proto je podpora právě této terénní sociální služby je velice důležitá. Uživatelé zůstávají ve svém přirozeném prostředí a jsou nuceni, k co nejvyšší míře soběstačnosti, což kladně působí na oddálení regresních procesů spojenými se stářím. </w:t>
      </w:r>
      <w:r w:rsidR="00B01AF2">
        <w:t>Většina seniorů silně preferuje pobyt ve vlastním domě, ke kterému je často pojí silné pouto (převážně v malých obcích).</w:t>
      </w:r>
    </w:p>
    <w:p w:rsidR="00F34026" w:rsidRDefault="00F34026" w:rsidP="00F34026">
      <w:r>
        <w:t>Zvýšení podpory a propagace zájmu o pečovatelské služby, by se mělo pozitivně projevit i na současné problematice s nedostat</w:t>
      </w:r>
      <w:r w:rsidR="00B01AF2">
        <w:t>kem</w:t>
      </w:r>
      <w:r>
        <w:t xml:space="preserve"> volný</w:t>
      </w:r>
      <w:r w:rsidR="00B01AF2">
        <w:t>ch míst v d</w:t>
      </w:r>
      <w:r>
        <w:t>omovech pro seniory, kde poptávka výrazně převyšuje kapacitu těchto zařízení.</w:t>
      </w:r>
    </w:p>
    <w:p w:rsidR="00B01AF2" w:rsidRDefault="00B01AF2" w:rsidP="00F34026">
      <w:r>
        <w:t xml:space="preserve">Pečovatelská služby rovněž umožňuje </w:t>
      </w:r>
      <w:r w:rsidR="00296D55">
        <w:t>klientům</w:t>
      </w:r>
      <w:r>
        <w:t xml:space="preserve"> zůstat v</w:t>
      </w:r>
      <w:r w:rsidR="0073252B">
        <w:t xml:space="preserve"> domácím prostředí v</w:t>
      </w:r>
      <w:r>
        <w:t xml:space="preserve"> kontaktu s</w:t>
      </w:r>
      <w:r w:rsidR="0073252B">
        <w:t xml:space="preserve"> dalšími členy</w:t>
      </w:r>
      <w:r>
        <w:t xml:space="preserve"> rodin</w:t>
      </w:r>
      <w:r w:rsidR="0073252B">
        <w:t>y</w:t>
      </w:r>
      <w:r>
        <w:t xml:space="preserve">, přičemž </w:t>
      </w:r>
      <w:r w:rsidR="0073252B">
        <w:t>pečovatelská služby ulehčuje ostatním členům rodiny péči o</w:t>
      </w:r>
      <w:r w:rsidR="00296D55">
        <w:t xml:space="preserve"> ně</w:t>
      </w:r>
      <w:r w:rsidR="0073252B">
        <w:t>. To je významné zejména pro příslušníky tzv. „</w:t>
      </w:r>
      <w:r w:rsidR="00B845C3">
        <w:t>sandwi</w:t>
      </w:r>
      <w:r w:rsidR="0073252B">
        <w:t xml:space="preserve">chové generace“ – jedinci ve </w:t>
      </w:r>
      <w:r w:rsidR="0073252B">
        <w:lastRenderedPageBreak/>
        <w:t>středním věku, kteří se kromě zaměstnání starají jak o vlastní děti a tak o vlastní rodiče a jsou tak enormně zatěžováni, což může ohrozit také jejich zaměstnání jako zdroj příjmů.</w:t>
      </w:r>
    </w:p>
    <w:p w:rsidR="00B845C3" w:rsidRPr="0034018A" w:rsidRDefault="00B845C3" w:rsidP="00B845C3">
      <w:pPr>
        <w:rPr>
          <w:u w:val="single"/>
        </w:rPr>
      </w:pPr>
      <w:r w:rsidRPr="0034018A">
        <w:rPr>
          <w:u w:val="single"/>
        </w:rPr>
        <w:t>Domovy pro seniory</w:t>
      </w:r>
    </w:p>
    <w:p w:rsidR="00B845C3" w:rsidRDefault="00B845C3" w:rsidP="00B845C3">
      <w:r>
        <w:t xml:space="preserve">V oblasti působnosti MAS Litomyšlsko jsou k dispozici čtyři takto klasifikovaná pobytová zařízení pro seniory. Domovy pro seniory poskytují sociální péči lidem, kteří se v důsledku svého věku a ze zdravotních nebo sociálních důvodů ocitli v nepříznivé sociální situaci, kterou nejsou schopni zvládat ve vlastním prostředí ani s pomocí jiných druhů sociálních služeb nebo rodiny a potřebují pravidelnou pomoc při zvládání základních životních potřeb. Zařízení nabízí domácí péči v náhradním prostředí s člověkem nablízku, kdy je o klienta pečováno po celých 24 hodin denně. Domovy se snaží pomoci zachovat co nejvíce možnou samostatnost, nezávislost a zvyklosti dřívějšího života. </w:t>
      </w:r>
    </w:p>
    <w:p w:rsidR="00B845C3" w:rsidRDefault="00B845C3" w:rsidP="00B845C3">
      <w:r w:rsidRPr="007B35EA">
        <w:t xml:space="preserve">První se nachází v Litomyšli a je provozováno Centrem sociální pomoci města Litomyšl (příspěvková </w:t>
      </w:r>
      <w:r>
        <w:t>organizace města) a k dispozici je 76 lůžek, přičemž je rozděleno na domov pro seniory s 51 lůžky a pro osoby se zvláštním režimem (Alzheimerova choroba). Druhé pobytové zařízení se nachází v obci Sloupnice a má kapacitu 107 lůžek. Další dva Domovy se nachází ve Vysokém Mýtě s celkovou kapacitou 95 a 125 lůžek.</w:t>
      </w:r>
    </w:p>
    <w:p w:rsidR="00B845C3" w:rsidRDefault="00445245" w:rsidP="00B845C3">
      <w:r>
        <w:t>Tématem je také</w:t>
      </w:r>
      <w:r w:rsidR="00B845C3">
        <w:t xml:space="preserve"> </w:t>
      </w:r>
      <w:r>
        <w:t>kapacita v domovech pro seniory</w:t>
      </w:r>
      <w:r w:rsidR="00B845C3">
        <w:t>. V roce 2010 byl téměř dvojnásobný zájem o tyto služby, než byla kapacita v té době. V období mezi roky 2011-2012 se situace mírně zlepšila, díky otevření nového zařízení ve Vysokém Mýtě. V roce 2013 se znovu zaznamenal růst zájmu o tuto službu a zhoršení situace s nedostatkem lůžkových kapacit těchto služeb. Vývoj faktorů můžeme sledovat v tabulce a následném grafu uvedeném níže.</w:t>
      </w:r>
      <w:r w:rsidR="00112489" w:rsidRPr="00112489">
        <w:rPr>
          <w:rStyle w:val="Znakapoznpodarou"/>
        </w:rPr>
        <w:t xml:space="preserve"> </w:t>
      </w:r>
      <w:r w:rsidR="00112489">
        <w:rPr>
          <w:rStyle w:val="Znakapoznpodarou"/>
        </w:rPr>
        <w:footnoteReference w:id="23"/>
      </w:r>
    </w:p>
    <w:tbl>
      <w:tblPr>
        <w:tblW w:w="8560" w:type="dxa"/>
        <w:tblInd w:w="60" w:type="dxa"/>
        <w:tblCellMar>
          <w:left w:w="70" w:type="dxa"/>
          <w:right w:w="70" w:type="dxa"/>
        </w:tblCellMar>
        <w:tblLook w:val="04A0"/>
      </w:tblPr>
      <w:tblGrid>
        <w:gridCol w:w="2380"/>
        <w:gridCol w:w="1180"/>
        <w:gridCol w:w="1540"/>
        <w:gridCol w:w="3460"/>
      </w:tblGrid>
      <w:tr w:rsidR="00B845C3" w:rsidRPr="00073C07" w:rsidTr="006279B4">
        <w:trPr>
          <w:trHeight w:val="915"/>
        </w:trPr>
        <w:tc>
          <w:tcPr>
            <w:tcW w:w="2380" w:type="dxa"/>
            <w:tcBorders>
              <w:top w:val="single" w:sz="8" w:space="0" w:color="auto"/>
              <w:left w:val="single" w:sz="8" w:space="0" w:color="auto"/>
              <w:bottom w:val="single" w:sz="8" w:space="0" w:color="auto"/>
              <w:right w:val="nil"/>
            </w:tcBorders>
            <w:shd w:val="clear" w:color="auto" w:fill="auto"/>
            <w:noWrap/>
            <w:vAlign w:val="center"/>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Subjekt</w:t>
            </w:r>
          </w:p>
        </w:tc>
        <w:tc>
          <w:tcPr>
            <w:tcW w:w="118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Počet lůžek</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Počet uživatelů</w:t>
            </w:r>
          </w:p>
        </w:tc>
        <w:tc>
          <w:tcPr>
            <w:tcW w:w="3460" w:type="dxa"/>
            <w:tcBorders>
              <w:top w:val="single" w:sz="8" w:space="0" w:color="auto"/>
              <w:left w:val="nil"/>
              <w:bottom w:val="single" w:sz="8" w:space="0" w:color="auto"/>
              <w:right w:val="single" w:sz="8" w:space="0" w:color="auto"/>
            </w:tcBorders>
            <w:shd w:val="clear" w:color="auto" w:fill="auto"/>
            <w:vAlign w:val="center"/>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Počet žadatelů o službu, se kterými nebyla uzavřena smlouva z kapacitních důvodů</w:t>
            </w:r>
          </w:p>
        </w:tc>
      </w:tr>
      <w:tr w:rsidR="00B845C3" w:rsidRPr="00073C07" w:rsidTr="006279B4">
        <w:trPr>
          <w:trHeight w:val="315"/>
        </w:trPr>
        <w:tc>
          <w:tcPr>
            <w:tcW w:w="8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2009</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Litomyšl</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51</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62</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109</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Sloupnice</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107</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125</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19</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lastRenderedPageBreak/>
              <w:t>Vysoké Mýto</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74</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74</w:t>
            </w:r>
          </w:p>
        </w:tc>
        <w:tc>
          <w:tcPr>
            <w:tcW w:w="3460" w:type="dxa"/>
            <w:tcBorders>
              <w:top w:val="nil"/>
              <w:left w:val="nil"/>
              <w:bottom w:val="single" w:sz="4" w:space="0" w:color="auto"/>
              <w:right w:val="single" w:sz="8" w:space="0" w:color="auto"/>
            </w:tcBorders>
            <w:shd w:val="clear" w:color="000000" w:fill="FFFFFF"/>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293</w:t>
            </w:r>
          </w:p>
        </w:tc>
      </w:tr>
      <w:tr w:rsidR="00B845C3" w:rsidRPr="00073C07" w:rsidTr="006279B4">
        <w:trPr>
          <w:trHeight w:val="315"/>
        </w:trPr>
        <w:tc>
          <w:tcPr>
            <w:tcW w:w="2380" w:type="dxa"/>
            <w:tcBorders>
              <w:top w:val="nil"/>
              <w:left w:val="single" w:sz="8" w:space="0" w:color="auto"/>
              <w:bottom w:val="double" w:sz="6"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double" w:sz="6"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c>
          <w:tcPr>
            <w:tcW w:w="1540" w:type="dxa"/>
            <w:tcBorders>
              <w:top w:val="nil"/>
              <w:left w:val="nil"/>
              <w:bottom w:val="double" w:sz="6"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c>
          <w:tcPr>
            <w:tcW w:w="3460" w:type="dxa"/>
            <w:tcBorders>
              <w:top w:val="nil"/>
              <w:left w:val="nil"/>
              <w:bottom w:val="double" w:sz="6" w:space="0" w:color="auto"/>
              <w:right w:val="single" w:sz="8" w:space="0" w:color="auto"/>
            </w:tcBorders>
            <w:shd w:val="clear" w:color="000000" w:fill="FFFFFF"/>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r>
      <w:tr w:rsidR="00B845C3" w:rsidRPr="00073C07" w:rsidTr="006279B4">
        <w:trPr>
          <w:trHeight w:val="330"/>
        </w:trPr>
        <w:tc>
          <w:tcPr>
            <w:tcW w:w="2380" w:type="dxa"/>
            <w:tcBorders>
              <w:top w:val="nil"/>
              <w:left w:val="single" w:sz="8" w:space="0" w:color="auto"/>
              <w:bottom w:val="nil"/>
              <w:right w:val="single" w:sz="4" w:space="0" w:color="auto"/>
            </w:tcBorders>
            <w:shd w:val="clear" w:color="auto" w:fill="auto"/>
            <w:vAlign w:val="center"/>
            <w:hideMark/>
          </w:tcPr>
          <w:p w:rsidR="00B845C3" w:rsidRPr="00073C07" w:rsidRDefault="00B845C3" w:rsidP="006279B4">
            <w:pPr>
              <w:spacing w:after="0"/>
              <w:jc w:val="left"/>
              <w:rPr>
                <w:rFonts w:ascii="Arial" w:hAnsi="Arial" w:cs="Arial"/>
                <w:b/>
                <w:bCs/>
                <w:i/>
                <w:iCs/>
                <w:color w:val="000000"/>
                <w:sz w:val="20"/>
                <w:szCs w:val="20"/>
                <w:lang w:eastAsia="cs-CZ"/>
              </w:rPr>
            </w:pPr>
            <w:r w:rsidRPr="00073C07">
              <w:rPr>
                <w:rFonts w:ascii="Arial" w:hAnsi="Arial" w:cs="Arial"/>
                <w:b/>
                <w:bCs/>
                <w:i/>
                <w:iCs/>
                <w:color w:val="000000"/>
                <w:sz w:val="20"/>
                <w:szCs w:val="20"/>
                <w:lang w:eastAsia="cs-CZ"/>
              </w:rPr>
              <w:t xml:space="preserve">Celkem </w:t>
            </w:r>
          </w:p>
        </w:tc>
        <w:tc>
          <w:tcPr>
            <w:tcW w:w="1180" w:type="dxa"/>
            <w:tcBorders>
              <w:top w:val="nil"/>
              <w:left w:val="nil"/>
              <w:bottom w:val="nil"/>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232</w:t>
            </w:r>
          </w:p>
        </w:tc>
        <w:tc>
          <w:tcPr>
            <w:tcW w:w="1540" w:type="dxa"/>
            <w:tcBorders>
              <w:top w:val="nil"/>
              <w:left w:val="nil"/>
              <w:bottom w:val="nil"/>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261</w:t>
            </w:r>
          </w:p>
        </w:tc>
        <w:tc>
          <w:tcPr>
            <w:tcW w:w="3460" w:type="dxa"/>
            <w:tcBorders>
              <w:top w:val="nil"/>
              <w:left w:val="nil"/>
              <w:bottom w:val="nil"/>
              <w:right w:val="single" w:sz="8"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421</w:t>
            </w:r>
          </w:p>
        </w:tc>
      </w:tr>
      <w:tr w:rsidR="00B845C3" w:rsidRPr="00073C07" w:rsidTr="006279B4">
        <w:trPr>
          <w:trHeight w:val="315"/>
        </w:trPr>
        <w:tc>
          <w:tcPr>
            <w:tcW w:w="8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2010</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Litomyšl</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51</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63</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133</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Sloupnice</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107</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130</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40</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74</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85</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327</w:t>
            </w:r>
          </w:p>
        </w:tc>
      </w:tr>
      <w:tr w:rsidR="00B845C3" w:rsidRPr="00073C07" w:rsidTr="006279B4">
        <w:trPr>
          <w:trHeight w:val="315"/>
        </w:trPr>
        <w:tc>
          <w:tcPr>
            <w:tcW w:w="2380" w:type="dxa"/>
            <w:tcBorders>
              <w:top w:val="nil"/>
              <w:left w:val="single" w:sz="8" w:space="0" w:color="auto"/>
              <w:bottom w:val="double" w:sz="6"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double" w:sz="6"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c>
          <w:tcPr>
            <w:tcW w:w="1540" w:type="dxa"/>
            <w:tcBorders>
              <w:top w:val="nil"/>
              <w:left w:val="nil"/>
              <w:bottom w:val="double" w:sz="6"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c>
          <w:tcPr>
            <w:tcW w:w="3460" w:type="dxa"/>
            <w:tcBorders>
              <w:top w:val="nil"/>
              <w:left w:val="nil"/>
              <w:bottom w:val="double" w:sz="6" w:space="0" w:color="auto"/>
              <w:right w:val="single" w:sz="8" w:space="0" w:color="auto"/>
            </w:tcBorders>
            <w:shd w:val="clear" w:color="auto" w:fill="auto"/>
            <w:noWrap/>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NA</w:t>
            </w:r>
          </w:p>
        </w:tc>
      </w:tr>
      <w:tr w:rsidR="00B845C3" w:rsidRPr="00073C07" w:rsidTr="006279B4">
        <w:trPr>
          <w:trHeight w:val="330"/>
        </w:trPr>
        <w:tc>
          <w:tcPr>
            <w:tcW w:w="2380" w:type="dxa"/>
            <w:tcBorders>
              <w:top w:val="nil"/>
              <w:left w:val="single" w:sz="8" w:space="0" w:color="auto"/>
              <w:bottom w:val="nil"/>
              <w:right w:val="single" w:sz="4" w:space="0" w:color="auto"/>
            </w:tcBorders>
            <w:shd w:val="clear" w:color="auto" w:fill="auto"/>
            <w:vAlign w:val="center"/>
            <w:hideMark/>
          </w:tcPr>
          <w:p w:rsidR="00B845C3" w:rsidRPr="00073C07" w:rsidRDefault="00B845C3" w:rsidP="006279B4">
            <w:pPr>
              <w:spacing w:after="0"/>
              <w:jc w:val="left"/>
              <w:rPr>
                <w:rFonts w:ascii="Arial" w:hAnsi="Arial" w:cs="Arial"/>
                <w:b/>
                <w:bCs/>
                <w:i/>
                <w:iCs/>
                <w:color w:val="000000"/>
                <w:sz w:val="20"/>
                <w:szCs w:val="20"/>
                <w:lang w:eastAsia="cs-CZ"/>
              </w:rPr>
            </w:pPr>
            <w:r w:rsidRPr="00073C07">
              <w:rPr>
                <w:rFonts w:ascii="Arial" w:hAnsi="Arial" w:cs="Arial"/>
                <w:b/>
                <w:bCs/>
                <w:i/>
                <w:iCs/>
                <w:color w:val="000000"/>
                <w:sz w:val="20"/>
                <w:szCs w:val="20"/>
                <w:lang w:eastAsia="cs-CZ"/>
              </w:rPr>
              <w:t xml:space="preserve">Celkem </w:t>
            </w:r>
          </w:p>
        </w:tc>
        <w:tc>
          <w:tcPr>
            <w:tcW w:w="1180" w:type="dxa"/>
            <w:tcBorders>
              <w:top w:val="nil"/>
              <w:left w:val="nil"/>
              <w:bottom w:val="nil"/>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232</w:t>
            </w:r>
          </w:p>
        </w:tc>
        <w:tc>
          <w:tcPr>
            <w:tcW w:w="1540" w:type="dxa"/>
            <w:tcBorders>
              <w:top w:val="nil"/>
              <w:left w:val="nil"/>
              <w:bottom w:val="nil"/>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278</w:t>
            </w:r>
          </w:p>
        </w:tc>
        <w:tc>
          <w:tcPr>
            <w:tcW w:w="3460" w:type="dxa"/>
            <w:tcBorders>
              <w:top w:val="nil"/>
              <w:left w:val="nil"/>
              <w:bottom w:val="nil"/>
              <w:right w:val="single" w:sz="8"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500</w:t>
            </w:r>
          </w:p>
        </w:tc>
      </w:tr>
      <w:tr w:rsidR="00B845C3" w:rsidRPr="00073C07" w:rsidTr="006279B4">
        <w:trPr>
          <w:trHeight w:val="315"/>
        </w:trPr>
        <w:tc>
          <w:tcPr>
            <w:tcW w:w="8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2011</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Litomyšl</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51</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63</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111</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Sloupnice</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107</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123</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26</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76</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76</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307</w:t>
            </w:r>
          </w:p>
        </w:tc>
      </w:tr>
      <w:tr w:rsidR="00B845C3" w:rsidRPr="00073C07" w:rsidTr="006279B4">
        <w:trPr>
          <w:trHeight w:val="315"/>
        </w:trPr>
        <w:tc>
          <w:tcPr>
            <w:tcW w:w="2380" w:type="dxa"/>
            <w:tcBorders>
              <w:top w:val="nil"/>
              <w:left w:val="single" w:sz="8" w:space="0" w:color="auto"/>
              <w:bottom w:val="double" w:sz="6"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100</w:t>
            </w:r>
          </w:p>
        </w:tc>
        <w:tc>
          <w:tcPr>
            <w:tcW w:w="154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128</w:t>
            </w:r>
          </w:p>
        </w:tc>
        <w:tc>
          <w:tcPr>
            <w:tcW w:w="3460" w:type="dxa"/>
            <w:tcBorders>
              <w:top w:val="nil"/>
              <w:left w:val="nil"/>
              <w:bottom w:val="double" w:sz="6"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0</w:t>
            </w:r>
          </w:p>
        </w:tc>
      </w:tr>
      <w:tr w:rsidR="00B845C3" w:rsidRPr="00073C07" w:rsidTr="006279B4">
        <w:trPr>
          <w:trHeight w:val="330"/>
        </w:trPr>
        <w:tc>
          <w:tcPr>
            <w:tcW w:w="2380" w:type="dxa"/>
            <w:tcBorders>
              <w:top w:val="nil"/>
              <w:left w:val="single" w:sz="8" w:space="0" w:color="auto"/>
              <w:bottom w:val="nil"/>
              <w:right w:val="single" w:sz="4" w:space="0" w:color="auto"/>
            </w:tcBorders>
            <w:shd w:val="clear" w:color="auto" w:fill="auto"/>
            <w:vAlign w:val="center"/>
            <w:hideMark/>
          </w:tcPr>
          <w:p w:rsidR="00B845C3" w:rsidRPr="00073C07" w:rsidRDefault="00B845C3" w:rsidP="006279B4">
            <w:pPr>
              <w:spacing w:after="0"/>
              <w:jc w:val="left"/>
              <w:rPr>
                <w:rFonts w:ascii="Arial" w:hAnsi="Arial" w:cs="Arial"/>
                <w:b/>
                <w:bCs/>
                <w:i/>
                <w:iCs/>
                <w:color w:val="000000"/>
                <w:sz w:val="20"/>
                <w:szCs w:val="20"/>
                <w:lang w:eastAsia="cs-CZ"/>
              </w:rPr>
            </w:pPr>
            <w:r w:rsidRPr="00073C07">
              <w:rPr>
                <w:rFonts w:ascii="Arial" w:hAnsi="Arial" w:cs="Arial"/>
                <w:b/>
                <w:bCs/>
                <w:i/>
                <w:iCs/>
                <w:color w:val="000000"/>
                <w:sz w:val="20"/>
                <w:szCs w:val="20"/>
                <w:lang w:eastAsia="cs-CZ"/>
              </w:rPr>
              <w:t xml:space="preserve">Celkem </w:t>
            </w:r>
          </w:p>
        </w:tc>
        <w:tc>
          <w:tcPr>
            <w:tcW w:w="1180" w:type="dxa"/>
            <w:tcBorders>
              <w:top w:val="nil"/>
              <w:left w:val="nil"/>
              <w:bottom w:val="nil"/>
              <w:right w:val="single" w:sz="4"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334</w:t>
            </w:r>
          </w:p>
        </w:tc>
        <w:tc>
          <w:tcPr>
            <w:tcW w:w="1540" w:type="dxa"/>
            <w:tcBorders>
              <w:top w:val="nil"/>
              <w:left w:val="nil"/>
              <w:bottom w:val="nil"/>
              <w:right w:val="single" w:sz="4"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390</w:t>
            </w:r>
          </w:p>
        </w:tc>
        <w:tc>
          <w:tcPr>
            <w:tcW w:w="3460" w:type="dxa"/>
            <w:tcBorders>
              <w:top w:val="nil"/>
              <w:left w:val="nil"/>
              <w:bottom w:val="nil"/>
              <w:right w:val="single" w:sz="8"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444</w:t>
            </w:r>
          </w:p>
        </w:tc>
      </w:tr>
      <w:tr w:rsidR="00B845C3" w:rsidRPr="00073C07" w:rsidTr="006279B4">
        <w:trPr>
          <w:trHeight w:val="315"/>
        </w:trPr>
        <w:tc>
          <w:tcPr>
            <w:tcW w:w="8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2012</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Litomyšl</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51</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56</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102</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Sloupnice</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42</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126</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35</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80</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74</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26</w:t>
            </w:r>
          </w:p>
        </w:tc>
      </w:tr>
      <w:tr w:rsidR="00B845C3" w:rsidRPr="00073C07" w:rsidTr="006279B4">
        <w:trPr>
          <w:trHeight w:val="315"/>
        </w:trPr>
        <w:tc>
          <w:tcPr>
            <w:tcW w:w="2380" w:type="dxa"/>
            <w:tcBorders>
              <w:top w:val="nil"/>
              <w:left w:val="single" w:sz="8" w:space="0" w:color="auto"/>
              <w:bottom w:val="double" w:sz="6"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100</w:t>
            </w:r>
          </w:p>
        </w:tc>
        <w:tc>
          <w:tcPr>
            <w:tcW w:w="154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137</w:t>
            </w:r>
          </w:p>
        </w:tc>
        <w:tc>
          <w:tcPr>
            <w:tcW w:w="3460" w:type="dxa"/>
            <w:tcBorders>
              <w:top w:val="nil"/>
              <w:left w:val="nil"/>
              <w:bottom w:val="double" w:sz="6"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39</w:t>
            </w:r>
          </w:p>
        </w:tc>
      </w:tr>
      <w:tr w:rsidR="00B845C3" w:rsidRPr="00073C07" w:rsidTr="006279B4">
        <w:trPr>
          <w:trHeight w:val="330"/>
        </w:trPr>
        <w:tc>
          <w:tcPr>
            <w:tcW w:w="2380" w:type="dxa"/>
            <w:tcBorders>
              <w:top w:val="nil"/>
              <w:left w:val="single" w:sz="8" w:space="0" w:color="auto"/>
              <w:bottom w:val="nil"/>
              <w:right w:val="single" w:sz="4" w:space="0" w:color="auto"/>
            </w:tcBorders>
            <w:shd w:val="clear" w:color="auto" w:fill="auto"/>
            <w:vAlign w:val="center"/>
            <w:hideMark/>
          </w:tcPr>
          <w:p w:rsidR="00B845C3" w:rsidRPr="00073C07" w:rsidRDefault="00B845C3" w:rsidP="006279B4">
            <w:pPr>
              <w:spacing w:after="0"/>
              <w:jc w:val="left"/>
              <w:rPr>
                <w:rFonts w:ascii="Arial" w:hAnsi="Arial" w:cs="Arial"/>
                <w:b/>
                <w:bCs/>
                <w:i/>
                <w:iCs/>
                <w:color w:val="000000"/>
                <w:sz w:val="20"/>
                <w:szCs w:val="20"/>
                <w:lang w:eastAsia="cs-CZ"/>
              </w:rPr>
            </w:pPr>
            <w:r w:rsidRPr="00073C07">
              <w:rPr>
                <w:rFonts w:ascii="Arial" w:hAnsi="Arial" w:cs="Arial"/>
                <w:b/>
                <w:bCs/>
                <w:i/>
                <w:iCs/>
                <w:color w:val="000000"/>
                <w:sz w:val="20"/>
                <w:szCs w:val="20"/>
                <w:lang w:eastAsia="cs-CZ"/>
              </w:rPr>
              <w:t xml:space="preserve">Celkem </w:t>
            </w:r>
          </w:p>
        </w:tc>
        <w:tc>
          <w:tcPr>
            <w:tcW w:w="1180" w:type="dxa"/>
            <w:tcBorders>
              <w:top w:val="nil"/>
              <w:left w:val="nil"/>
              <w:bottom w:val="nil"/>
              <w:right w:val="single" w:sz="4"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273</w:t>
            </w:r>
          </w:p>
        </w:tc>
        <w:tc>
          <w:tcPr>
            <w:tcW w:w="1540" w:type="dxa"/>
            <w:tcBorders>
              <w:top w:val="nil"/>
              <w:left w:val="nil"/>
              <w:bottom w:val="nil"/>
              <w:right w:val="single" w:sz="4"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393</w:t>
            </w:r>
          </w:p>
        </w:tc>
        <w:tc>
          <w:tcPr>
            <w:tcW w:w="3460" w:type="dxa"/>
            <w:tcBorders>
              <w:top w:val="nil"/>
              <w:left w:val="nil"/>
              <w:bottom w:val="nil"/>
              <w:right w:val="single" w:sz="8" w:space="0" w:color="auto"/>
            </w:tcBorders>
            <w:shd w:val="clear" w:color="auto" w:fill="auto"/>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202</w:t>
            </w:r>
          </w:p>
        </w:tc>
      </w:tr>
      <w:tr w:rsidR="00B845C3" w:rsidRPr="00073C07" w:rsidTr="006279B4">
        <w:trPr>
          <w:trHeight w:val="315"/>
        </w:trPr>
        <w:tc>
          <w:tcPr>
            <w:tcW w:w="8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845C3" w:rsidRPr="00073C07" w:rsidRDefault="00B845C3" w:rsidP="006279B4">
            <w:pPr>
              <w:spacing w:after="0"/>
              <w:jc w:val="center"/>
              <w:rPr>
                <w:rFonts w:ascii="Calibri" w:hAnsi="Calibri"/>
                <w:b/>
                <w:bCs/>
                <w:color w:val="000000"/>
                <w:lang w:eastAsia="cs-CZ"/>
              </w:rPr>
            </w:pPr>
            <w:r w:rsidRPr="00073C07">
              <w:rPr>
                <w:rFonts w:ascii="Calibri" w:hAnsi="Calibri"/>
                <w:b/>
                <w:bCs/>
                <w:color w:val="000000"/>
                <w:lang w:eastAsia="cs-CZ"/>
              </w:rPr>
              <w:t>2013</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Litomyšl</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51</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63</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111</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Sloupnice</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107</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123</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29</w:t>
            </w:r>
          </w:p>
        </w:tc>
      </w:tr>
      <w:tr w:rsidR="00B845C3" w:rsidRPr="00073C07" w:rsidTr="006279B4">
        <w:trPr>
          <w:trHeight w:val="300"/>
        </w:trPr>
        <w:tc>
          <w:tcPr>
            <w:tcW w:w="2380" w:type="dxa"/>
            <w:tcBorders>
              <w:top w:val="nil"/>
              <w:left w:val="single" w:sz="8" w:space="0" w:color="auto"/>
              <w:bottom w:val="single" w:sz="4"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80</w:t>
            </w:r>
          </w:p>
        </w:tc>
        <w:tc>
          <w:tcPr>
            <w:tcW w:w="1540" w:type="dxa"/>
            <w:tcBorders>
              <w:top w:val="nil"/>
              <w:left w:val="nil"/>
              <w:bottom w:val="single" w:sz="4"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95</w:t>
            </w:r>
          </w:p>
        </w:tc>
        <w:tc>
          <w:tcPr>
            <w:tcW w:w="3460" w:type="dxa"/>
            <w:tcBorders>
              <w:top w:val="nil"/>
              <w:left w:val="nil"/>
              <w:bottom w:val="single" w:sz="4"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37</w:t>
            </w:r>
          </w:p>
        </w:tc>
      </w:tr>
      <w:tr w:rsidR="00B845C3" w:rsidRPr="00073C07" w:rsidTr="006279B4">
        <w:trPr>
          <w:trHeight w:val="315"/>
        </w:trPr>
        <w:tc>
          <w:tcPr>
            <w:tcW w:w="2380" w:type="dxa"/>
            <w:tcBorders>
              <w:top w:val="nil"/>
              <w:left w:val="single" w:sz="8" w:space="0" w:color="auto"/>
              <w:bottom w:val="double" w:sz="6"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color w:val="000000"/>
                <w:sz w:val="20"/>
                <w:szCs w:val="20"/>
                <w:lang w:eastAsia="cs-CZ"/>
              </w:rPr>
            </w:pPr>
            <w:r w:rsidRPr="00073C07">
              <w:rPr>
                <w:rFonts w:ascii="Arial" w:hAnsi="Arial" w:cs="Arial"/>
                <w:color w:val="000000"/>
                <w:sz w:val="20"/>
                <w:szCs w:val="20"/>
                <w:lang w:eastAsia="cs-CZ"/>
              </w:rPr>
              <w:t>Vysoké Mýto</w:t>
            </w:r>
          </w:p>
        </w:tc>
        <w:tc>
          <w:tcPr>
            <w:tcW w:w="118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100</w:t>
            </w:r>
          </w:p>
        </w:tc>
        <w:tc>
          <w:tcPr>
            <w:tcW w:w="1540" w:type="dxa"/>
            <w:tcBorders>
              <w:top w:val="nil"/>
              <w:left w:val="nil"/>
              <w:bottom w:val="double" w:sz="6" w:space="0" w:color="auto"/>
              <w:right w:val="single" w:sz="4"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120</w:t>
            </w:r>
          </w:p>
        </w:tc>
        <w:tc>
          <w:tcPr>
            <w:tcW w:w="3460" w:type="dxa"/>
            <w:tcBorders>
              <w:top w:val="nil"/>
              <w:left w:val="nil"/>
              <w:bottom w:val="double" w:sz="6" w:space="0" w:color="auto"/>
              <w:right w:val="single" w:sz="8" w:space="0" w:color="auto"/>
            </w:tcBorders>
            <w:shd w:val="clear" w:color="auto" w:fill="auto"/>
            <w:vAlign w:val="bottom"/>
            <w:hideMark/>
          </w:tcPr>
          <w:p w:rsidR="00B845C3" w:rsidRPr="00073C07" w:rsidRDefault="00B845C3" w:rsidP="006279B4">
            <w:pPr>
              <w:spacing w:after="0"/>
              <w:jc w:val="center"/>
              <w:rPr>
                <w:rFonts w:ascii="Calibri" w:hAnsi="Calibri"/>
                <w:color w:val="000000"/>
                <w:lang w:eastAsia="cs-CZ"/>
              </w:rPr>
            </w:pPr>
            <w:r w:rsidRPr="00073C07">
              <w:rPr>
                <w:rFonts w:ascii="Calibri" w:hAnsi="Calibri"/>
                <w:color w:val="000000"/>
                <w:lang w:eastAsia="cs-CZ"/>
              </w:rPr>
              <w:t>184</w:t>
            </w:r>
          </w:p>
        </w:tc>
      </w:tr>
      <w:tr w:rsidR="00B845C3" w:rsidRPr="00073C07" w:rsidTr="006279B4">
        <w:trPr>
          <w:trHeight w:val="330"/>
        </w:trPr>
        <w:tc>
          <w:tcPr>
            <w:tcW w:w="2380" w:type="dxa"/>
            <w:tcBorders>
              <w:top w:val="nil"/>
              <w:left w:val="single" w:sz="8" w:space="0" w:color="auto"/>
              <w:bottom w:val="single" w:sz="8" w:space="0" w:color="auto"/>
              <w:right w:val="single" w:sz="4" w:space="0" w:color="auto"/>
            </w:tcBorders>
            <w:shd w:val="clear" w:color="auto" w:fill="auto"/>
            <w:vAlign w:val="center"/>
            <w:hideMark/>
          </w:tcPr>
          <w:p w:rsidR="00B845C3" w:rsidRPr="00073C07" w:rsidRDefault="00B845C3" w:rsidP="006279B4">
            <w:pPr>
              <w:spacing w:after="0"/>
              <w:jc w:val="left"/>
              <w:rPr>
                <w:rFonts w:ascii="Arial" w:hAnsi="Arial" w:cs="Arial"/>
                <w:b/>
                <w:bCs/>
                <w:i/>
                <w:iCs/>
                <w:color w:val="000000"/>
                <w:sz w:val="20"/>
                <w:szCs w:val="20"/>
                <w:lang w:eastAsia="cs-CZ"/>
              </w:rPr>
            </w:pPr>
            <w:r w:rsidRPr="00073C07">
              <w:rPr>
                <w:rFonts w:ascii="Arial" w:hAnsi="Arial" w:cs="Arial"/>
                <w:b/>
                <w:bCs/>
                <w:i/>
                <w:iCs/>
                <w:color w:val="000000"/>
                <w:sz w:val="20"/>
                <w:szCs w:val="20"/>
                <w:lang w:eastAsia="cs-CZ"/>
              </w:rPr>
              <w:t xml:space="preserve">Celkem </w:t>
            </w:r>
          </w:p>
        </w:tc>
        <w:tc>
          <w:tcPr>
            <w:tcW w:w="1180" w:type="dxa"/>
            <w:tcBorders>
              <w:top w:val="nil"/>
              <w:left w:val="nil"/>
              <w:bottom w:val="single" w:sz="8"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338</w:t>
            </w:r>
          </w:p>
        </w:tc>
        <w:tc>
          <w:tcPr>
            <w:tcW w:w="1540" w:type="dxa"/>
            <w:tcBorders>
              <w:top w:val="nil"/>
              <w:left w:val="nil"/>
              <w:bottom w:val="single" w:sz="8" w:space="0" w:color="auto"/>
              <w:right w:val="single" w:sz="4"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401</w:t>
            </w:r>
          </w:p>
        </w:tc>
        <w:tc>
          <w:tcPr>
            <w:tcW w:w="3460" w:type="dxa"/>
            <w:tcBorders>
              <w:top w:val="nil"/>
              <w:left w:val="nil"/>
              <w:bottom w:val="single" w:sz="8" w:space="0" w:color="auto"/>
              <w:right w:val="single" w:sz="8" w:space="0" w:color="auto"/>
            </w:tcBorders>
            <w:shd w:val="clear" w:color="auto" w:fill="auto"/>
            <w:noWrap/>
            <w:vAlign w:val="bottom"/>
            <w:hideMark/>
          </w:tcPr>
          <w:p w:rsidR="00B845C3" w:rsidRPr="00073C07" w:rsidRDefault="00B845C3" w:rsidP="006279B4">
            <w:pPr>
              <w:spacing w:after="0"/>
              <w:jc w:val="center"/>
              <w:rPr>
                <w:rFonts w:ascii="Calibri" w:hAnsi="Calibri"/>
                <w:b/>
                <w:bCs/>
                <w:i/>
                <w:iCs/>
                <w:color w:val="000000"/>
                <w:lang w:eastAsia="cs-CZ"/>
              </w:rPr>
            </w:pPr>
            <w:r w:rsidRPr="00073C07">
              <w:rPr>
                <w:rFonts w:ascii="Calibri" w:hAnsi="Calibri"/>
                <w:b/>
                <w:bCs/>
                <w:i/>
                <w:iCs/>
                <w:color w:val="000000"/>
                <w:lang w:eastAsia="cs-CZ"/>
              </w:rPr>
              <w:t>361</w:t>
            </w:r>
          </w:p>
        </w:tc>
      </w:tr>
    </w:tbl>
    <w:p w:rsidR="00B845C3" w:rsidRDefault="00B845C3" w:rsidP="00B845C3">
      <w:r>
        <w:t>Tab.: Domovy pro seniory v letech 2009-2013</w:t>
      </w:r>
      <w:r w:rsidR="009333FD">
        <w:t xml:space="preserve"> (zdroj: KÚ Pardubického kraje, </w:t>
      </w:r>
      <w:r w:rsidR="009333FD" w:rsidRPr="009333FD">
        <w:t>Vytváření místního partnerství – benchmarking sociálních služeb Pardubického kraje, verze 6.0</w:t>
      </w:r>
      <w:r w:rsidR="009333FD">
        <w:t>)</w:t>
      </w:r>
    </w:p>
    <w:p w:rsidR="00B845C3" w:rsidRDefault="00B845C3" w:rsidP="00B845C3"/>
    <w:p w:rsidR="00B845C3" w:rsidRDefault="00B845C3" w:rsidP="00B845C3">
      <w:r w:rsidRPr="007B35EA">
        <w:rPr>
          <w:noProof/>
          <w:lang w:eastAsia="cs-CZ"/>
        </w:rPr>
        <w:lastRenderedPageBreak/>
        <w:drawing>
          <wp:inline distT="0" distB="0" distL="0" distR="0">
            <wp:extent cx="5760720" cy="3031023"/>
            <wp:effectExtent l="19050" t="0" r="11430" b="0"/>
            <wp:docPr id="9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845C3" w:rsidRDefault="00B845C3" w:rsidP="00B845C3">
      <w:r>
        <w:t>Graf.: Vývoj kapacity, počtu uživatelů a žadatelů v Domovech pro seniory</w:t>
      </w:r>
      <w:r w:rsidR="009333FD">
        <w:t xml:space="preserve"> (zdroj: KÚ Pardubického kraje, </w:t>
      </w:r>
      <w:r w:rsidR="009333FD" w:rsidRPr="009333FD">
        <w:t>Vytváření místního partnerství – benchmarking sociálních služeb Pardubického kraje, verze 6.0</w:t>
      </w:r>
      <w:r w:rsidR="009333FD">
        <w:t>)</w:t>
      </w:r>
    </w:p>
    <w:p w:rsidR="00B845C3" w:rsidRDefault="00B845C3" w:rsidP="00B845C3">
      <w:r>
        <w:t xml:space="preserve">V budoucím vývoji můžeme předpokládat stále rostoucí zájem o zařazení seniorů do domovů. To je zapříčiněno následujícími aspekty: demografickým vývojem a </w:t>
      </w:r>
      <w:r w:rsidRPr="00340ABD">
        <w:t>soudobým životním stylem</w:t>
      </w:r>
      <w:r>
        <w:t>. Demografický vývoj je v poslední době charakterizován neustálým stárnutím populace a predikce na další vývoj nezaznamenávají výraznější změny k </w:t>
      </w:r>
      <w:r w:rsidRPr="009333FD">
        <w:t>lepšímu</w:t>
      </w:r>
      <w:r w:rsidR="00160D36" w:rsidRPr="009333FD">
        <w:t xml:space="preserve"> (viz 2.1.1.2 Věková struktura)</w:t>
      </w:r>
      <w:r w:rsidRPr="009333FD">
        <w:t>. Současným tren</w:t>
      </w:r>
      <w:r w:rsidR="00160D36" w:rsidRPr="009333FD">
        <w:t>dem je i umisťování seniorů do d</w:t>
      </w:r>
      <w:r w:rsidRPr="009333FD">
        <w:t xml:space="preserve">omovů a není již zcela běžné, tak jako tomu bývalo dříve, že se o starší generaci starali potomci. </w:t>
      </w:r>
      <w:r w:rsidR="00160D36" w:rsidRPr="009333FD">
        <w:t>Důvodem</w:t>
      </w:r>
      <w:r w:rsidR="00160D36">
        <w:t xml:space="preserve"> je také zvyšující se průměrný věk obyvatelstva. Ve chvílích, kdy seniorům již nestačí terénní pečovatelská služby (případně v kombinaci s péčí rodiny), přichází na řad</w:t>
      </w:r>
      <w:r w:rsidR="009F1A88">
        <w:t>u</w:t>
      </w:r>
      <w:r w:rsidR="00160D36">
        <w:t xml:space="preserve"> právě tento typ sociálních služeb.</w:t>
      </w:r>
    </w:p>
    <w:p w:rsidR="00B845C3" w:rsidRDefault="00B845C3" w:rsidP="00B845C3">
      <w:r>
        <w:t>Město Litomyšl si je této situace vědomo a má zájem ji zlepšit vybudováním nového ubytovacího zařízení pro seniory. Výstavba nového Domova pro seniory se zatím nachází v návrhové a projektové části. Vhodnou alternativou do doby, než se zvýší současná kapacita, vybudováním nového ubytovacího zařízení, by mohla být podpora terénních sociálních služeb, před</w:t>
      </w:r>
      <w:r w:rsidR="00160D36">
        <w:t>evším tedy pečovatelské služby.</w:t>
      </w:r>
    </w:p>
    <w:p w:rsidR="00160D36" w:rsidRDefault="00160D36" w:rsidP="00B845C3">
      <w:r>
        <w:t>Převis poptávky se již tak silně nedotýká oblasti okolo Vysokého Mýta, kde jsou tyto kapacity dostatečné.</w:t>
      </w:r>
    </w:p>
    <w:p w:rsidR="00A86C42" w:rsidRDefault="00A86C42" w:rsidP="00A86C42">
      <w:r>
        <w:lastRenderedPageBreak/>
        <w:t>V současné době domovy pro seniory řeší převis poptávky tak, že si  i přes dlouhý pořadník zájemců drží vždy několik málo volných míst pro případ náhlé potřeby ubytování osob s akutní potřebou. U řady zájemců není ubytování v těchto zařízeních tolik akutní.</w:t>
      </w:r>
      <w:r w:rsidR="00A62D55">
        <w:t xml:space="preserve"> Tyto osoby často žádají o tento typ ubytování často s předstihem, aby v případě nutnosti již byly tzv. v pořadí. V takovém případě by situaci řešilo také nové zařízení s nižší úrovní péče a tedy také nižšími provozními náklady. Často je motivem také vyloučení osob žijících osamoceně v domácnosti, což by také mohlo být řešeno větším zapojením seniorů do komunity (setkání, kluby seniorů, různé aktivity, vzdělávání nebo projekty založené na komunikaci a věnování se seniorům).</w:t>
      </w:r>
    </w:p>
    <w:p w:rsidR="00A62D55" w:rsidRPr="00700405" w:rsidRDefault="00A62D55" w:rsidP="00DC794B">
      <w:pPr>
        <w:rPr>
          <w:highlight w:val="yellow"/>
        </w:rPr>
      </w:pPr>
      <w:r>
        <w:t xml:space="preserve">V regionu jsou k dispozici </w:t>
      </w:r>
      <w:r w:rsidRPr="00DC794B">
        <w:t>ještě další zařízení umožňující pobytové služby seniorům, ale již nejsou klasifikovány jako domovy pro seniory nebo ne</w:t>
      </w:r>
      <w:r w:rsidR="00DC794B" w:rsidRPr="00DC794B">
        <w:t xml:space="preserve">jsou určeny veřejnosti (v obcích </w:t>
      </w:r>
      <w:r w:rsidRPr="00DC794B">
        <w:t xml:space="preserve">Dolní </w:t>
      </w:r>
      <w:r w:rsidR="00DC794B" w:rsidRPr="00DC794B">
        <w:t>Ú</w:t>
      </w:r>
      <w:r w:rsidRPr="00DC794B">
        <w:t>jezd</w:t>
      </w:r>
      <w:r w:rsidR="00DC794B" w:rsidRPr="00DC794B">
        <w:t xml:space="preserve">, </w:t>
      </w:r>
      <w:r w:rsidRPr="00DC794B">
        <w:t>Janov</w:t>
      </w:r>
      <w:r w:rsidR="00DC794B" w:rsidRPr="00DC794B">
        <w:t xml:space="preserve"> (zařízení vyhrazené pro seniory z řad kněží a řádových ses</w:t>
      </w:r>
      <w:r w:rsidR="0057106C">
        <w:t>t</w:t>
      </w:r>
      <w:r w:rsidR="00DC794B" w:rsidRPr="00DC794B">
        <w:t xml:space="preserve">er), </w:t>
      </w:r>
      <w:r w:rsidRPr="00DC794B">
        <w:t>Lubná</w:t>
      </w:r>
      <w:r w:rsidR="00DC794B" w:rsidRPr="00DC794B">
        <w:t xml:space="preserve">, </w:t>
      </w:r>
      <w:r w:rsidRPr="00DC794B">
        <w:t>Pohodlí (měst</w:t>
      </w:r>
      <w:r w:rsidR="0057106C">
        <w:t>ská čá</w:t>
      </w:r>
      <w:r w:rsidRPr="00DC794B">
        <w:t>st Litomyšle)</w:t>
      </w:r>
      <w:r w:rsidR="00DC794B" w:rsidRPr="00DC794B">
        <w:t xml:space="preserve">, </w:t>
      </w:r>
      <w:r w:rsidRPr="00DC794B">
        <w:t>Proseč</w:t>
      </w:r>
      <w:r w:rsidR="00DC794B" w:rsidRPr="00DC794B">
        <w:t xml:space="preserve"> u Skutče).</w:t>
      </w:r>
    </w:p>
    <w:p w:rsidR="00F34026" w:rsidRPr="00B058B2" w:rsidRDefault="00F34026" w:rsidP="00F34026">
      <w:pPr>
        <w:rPr>
          <w:u w:val="single"/>
        </w:rPr>
      </w:pPr>
      <w:r>
        <w:rPr>
          <w:u w:val="single"/>
        </w:rPr>
        <w:t>Osobní asistence</w:t>
      </w:r>
    </w:p>
    <w:p w:rsidR="00F34026" w:rsidRDefault="00F34026" w:rsidP="00F34026">
      <w:r>
        <w:t xml:space="preserve">Jednou z nejvýznamnějších terénních sociálních služeb je právě osobní asistence. Tato služba je </w:t>
      </w:r>
      <w:r w:rsidRPr="0046087E">
        <w:t>poskytována osobám</w:t>
      </w:r>
      <w:r>
        <w:t xml:space="preserve"> se</w:t>
      </w:r>
      <w:r w:rsidRPr="0046087E">
        <w:t xml:space="preserve"> sníženou soběstačnost</w:t>
      </w:r>
      <w:r>
        <w:t>í</w:t>
      </w:r>
      <w:r w:rsidRPr="0046087E">
        <w:t xml:space="preserve"> z důvodu věku, chronického onemocnění nebo zdravotního postižení, jejichž situace vyžaduje pomoc jiné fyzické osoby. Služba se poskytuje bez časového omezení, v přirozeném sociálním prostředí osob a činnostech, které osoba potřebuje.</w:t>
      </w:r>
      <w:r>
        <w:t xml:space="preserve"> V oblasti je osobní asistentství provozováno neziskovou organizací Středisko sociálních služeb Salvia ve Svitavách, která zaměstnává osobní asistenty působící v regionu a Základní a praktickou školou</w:t>
      </w:r>
      <w:r w:rsidRPr="00BC4535">
        <w:t xml:space="preserve"> SVÍTÁNÍ, o.p.s.</w:t>
      </w:r>
      <w:r>
        <w:t xml:space="preserve"> s pobočkou ve Vysokém Mýtě.</w:t>
      </w:r>
      <w:r w:rsidR="00112489" w:rsidRPr="00112489">
        <w:rPr>
          <w:rStyle w:val="Znakapoznpodarou"/>
        </w:rPr>
        <w:t xml:space="preserve"> </w:t>
      </w:r>
      <w:r w:rsidR="00112489">
        <w:rPr>
          <w:rStyle w:val="Znakapoznpodarou"/>
        </w:rPr>
        <w:footnoteReference w:id="24"/>
      </w:r>
    </w:p>
    <w:p w:rsidR="0052172D" w:rsidRPr="00B058B2" w:rsidRDefault="0052172D" w:rsidP="0052172D">
      <w:pPr>
        <w:rPr>
          <w:u w:val="single"/>
        </w:rPr>
      </w:pPr>
      <w:r w:rsidRPr="00B058B2">
        <w:rPr>
          <w:u w:val="single"/>
        </w:rPr>
        <w:t>Sociální poradenství</w:t>
      </w:r>
    </w:p>
    <w:p w:rsidR="0052172D" w:rsidRDefault="0052172D" w:rsidP="0052172D">
      <w:r>
        <w:t>Tato sociální služba je na území působnosti MAS Litomyšlsko provozována v rámci spolupráce Asociace obč</w:t>
      </w:r>
      <w:r w:rsidR="00F34026">
        <w:t>anských poraden a Farní charitou</w:t>
      </w:r>
      <w:r>
        <w:t xml:space="preserve"> Polička v</w:t>
      </w:r>
      <w:r w:rsidR="00841BFC">
        <w:t>e</w:t>
      </w:r>
      <w:r>
        <w:t> </w:t>
      </w:r>
      <w:r w:rsidR="00841BFC">
        <w:t>městě</w:t>
      </w:r>
      <w:r>
        <w:t xml:space="preserve"> Litomyšl. </w:t>
      </w:r>
      <w:r>
        <w:lastRenderedPageBreak/>
        <w:t>Občanská poradna pomáhá jednotlivcům řešit situace, které vnímají jako obtížné a neřešitelné. Dále je učí samostatnosti, odpovědnosti a o</w:t>
      </w:r>
      <w:r w:rsidR="00841BFC">
        <w:t>rientaci v krizových situacích.</w:t>
      </w:r>
      <w:r w:rsidR="00112489" w:rsidRPr="00112489">
        <w:rPr>
          <w:rStyle w:val="Znakapoznpodarou"/>
        </w:rPr>
        <w:t xml:space="preserve"> </w:t>
      </w:r>
      <w:r w:rsidR="00112489">
        <w:rPr>
          <w:rStyle w:val="Znakapoznpodarou"/>
        </w:rPr>
        <w:footnoteReference w:id="25"/>
      </w:r>
    </w:p>
    <w:p w:rsidR="0052172D" w:rsidRPr="007316AA" w:rsidRDefault="0052172D" w:rsidP="0052172D">
      <w:pPr>
        <w:rPr>
          <w:u w:val="single"/>
        </w:rPr>
      </w:pPr>
      <w:r w:rsidRPr="007316AA">
        <w:rPr>
          <w:u w:val="single"/>
        </w:rPr>
        <w:t>Odlehčovací služby</w:t>
      </w:r>
    </w:p>
    <w:p w:rsidR="0052172D" w:rsidRDefault="0052172D" w:rsidP="0052172D">
      <w:r>
        <w:t xml:space="preserve">Ke krátkodobým pobytovým zařízením patří respitní - úlevová péče provozována Farní charitou Litomyšl. Tato služba umožňuje podporu lidem, kteří v rodinném prostředí pečují o své blízké, kteří jsou z důvodu vysokého věku, chronického onemocnění či zdravotního postižení závislí na jejich pomoci. Zařízení je určeno pro cílovou skupinu senioři a osoby se zdravotním postižením starší 50 let. V současné době je možnost umístění pro devět klientů. Se stejným cílem poskytuje tyto služby i zařízení </w:t>
      </w:r>
      <w:r w:rsidRPr="00D6348C">
        <w:t>BERENIKA - Vysoké Mýto, o.p.s</w:t>
      </w:r>
      <w:r>
        <w:t xml:space="preserve">., kde jsou poskytovány služby ambulantní a pobytové péče. Zařízení je určené pro cílovou skupinu 16-50 let. Kapacita ambulantní péče dosahuje počtu šesti klientů a kapacita </w:t>
      </w:r>
      <w:r w:rsidR="00B845C3">
        <w:t xml:space="preserve">pro </w:t>
      </w:r>
      <w:r>
        <w:t>pobytové služby umožňuje poskytnutí péče pouze dvěma uživatelům.</w:t>
      </w:r>
      <w:r w:rsidR="00112489" w:rsidRPr="00112489">
        <w:rPr>
          <w:rStyle w:val="Znakapoznpodarou"/>
        </w:rPr>
        <w:t xml:space="preserve"> </w:t>
      </w:r>
      <w:r w:rsidR="00112489">
        <w:rPr>
          <w:rStyle w:val="Znakapoznpodarou"/>
        </w:rPr>
        <w:footnoteReference w:id="26"/>
      </w:r>
    </w:p>
    <w:p w:rsidR="0052172D" w:rsidRDefault="0052172D" w:rsidP="0052172D">
      <w:pPr>
        <w:rPr>
          <w:u w:val="single"/>
        </w:rPr>
      </w:pPr>
      <w:r w:rsidRPr="007316AA">
        <w:rPr>
          <w:u w:val="single"/>
        </w:rPr>
        <w:t>Denní stacionáře</w:t>
      </w:r>
    </w:p>
    <w:p w:rsidR="0052172D" w:rsidRPr="001B0912" w:rsidRDefault="0052172D" w:rsidP="0052172D">
      <w:r w:rsidRPr="001C40E0">
        <w:t>Denní stacionáře provozují v </w:t>
      </w:r>
      <w:r w:rsidR="00B845C3">
        <w:t>regionu</w:t>
      </w:r>
      <w:r w:rsidRPr="001C40E0">
        <w:t xml:space="preserve"> celkem tři subjekty. V Litomyšli Ruka pro život o.p</w:t>
      </w:r>
      <w:r>
        <w:t xml:space="preserve">.s., ve Vysokém </w:t>
      </w:r>
      <w:r w:rsidR="00B845C3">
        <w:t xml:space="preserve">Mýtě BERENIKA </w:t>
      </w:r>
      <w:r w:rsidRPr="001C40E0">
        <w:t>o.p.s. a Oblastní charita Nové Hrady u Skutče.</w:t>
      </w:r>
      <w:r>
        <w:t xml:space="preserve"> Denní centra nabízejí pomoc osobám s mentálním, zdravotním i </w:t>
      </w:r>
      <w:r w:rsidRPr="001C40E0">
        <w:t>kombinovaným postižením a dále</w:t>
      </w:r>
      <w:r>
        <w:t xml:space="preserve"> pak</w:t>
      </w:r>
      <w:r w:rsidRPr="001C40E0">
        <w:t xml:space="preserve"> osobám s chronickým </w:t>
      </w:r>
      <w:r>
        <w:t xml:space="preserve">a duševním onemocněním. Pomoc je poskytována klientům různého věku. Cílem těchto zařízení je zkvalitnění života osob patřících do těchto znevýhodněných skupin a poskytnutí jisté úlevy rodinným příslušníkům, kteří o ně pečují. </w:t>
      </w:r>
      <w:r w:rsidRPr="00444C09">
        <w:t>V denním stacionáři je uživateli zajištěna pomoc při zvládání běžných úkonů, pomoc při osobní hygieně nebo poskytnutí podmínek pro osobní hygienu, každodenní poskytnutí stravy, výchovné, vzdělávací a aktivizační činnosti, zprostředkování kontaktu se společenským okolím, sociálně terapeutické činnosti a pomoc při uplatňování práv, oprávněných zájmů a obstarávání osobních záležitostí.</w:t>
      </w:r>
      <w:r>
        <w:t xml:space="preserve"> </w:t>
      </w:r>
      <w:r w:rsidRPr="001B0912">
        <w:t>Cílem poskytované služby je individualizovaná podpora v životě všech uživatelů, tedy podpora</w:t>
      </w:r>
      <w:r>
        <w:t xml:space="preserve"> </w:t>
      </w:r>
      <w:r w:rsidRPr="001B0912">
        <w:t xml:space="preserve">uživatele v udržování přirozené vztahové sítě (žít </w:t>
      </w:r>
      <w:r w:rsidRPr="001B0912">
        <w:lastRenderedPageBreak/>
        <w:t>běžným, kvalitním způsobem života, využívat nabídku veřejných služeb v okolí stacionáře - obchody, pošta atd.), podpora vztahů s rodinou a blízkými přáteli, organizace společných akcí, podpora zdravotního stavu činnostmi pro udržení a zlepšení jejich pohybových schopností a dovedností prostřednictvím ergoterapie a individuálním přístupem, udržení dobrého psychického stavu sociálně terapeutickými činnostmi (jak dle jejich výběru, tak i např. prvky dramaterapie, muzikoterapie), navázání na výsledky výchovně vzdělávacího procesu ve škole, upevnění a rozvoj dovedností a vědomostí pomocí výchovně vzdělávacích činností (trivium), umožnění seberealizace uživatelů při ručních pracích a při výrobě výrobků dárkového charakteru, podpora zájmů uživatelů pomocí individuální a skupinové zájmové činnosti v oblasti sportovní a kulturní a umožnění prezentace dovedností a schopností uživatelů na veřejnosti.</w:t>
      </w:r>
      <w:r w:rsidR="00112489">
        <w:rPr>
          <w:rStyle w:val="Znakapoznpodarou"/>
        </w:rPr>
        <w:footnoteReference w:id="27"/>
      </w:r>
    </w:p>
    <w:p w:rsidR="0052172D" w:rsidRDefault="0052172D" w:rsidP="0052172D">
      <w:r>
        <w:t xml:space="preserve">V rámci denního stacionáře v Litomyšli fungují i </w:t>
      </w:r>
      <w:r w:rsidRPr="00CD3D2D">
        <w:t>Sociálně aktivizační služby pro seniory</w:t>
      </w:r>
      <w:r w:rsidR="00407ADC">
        <w:t>.</w:t>
      </w:r>
    </w:p>
    <w:p w:rsidR="0052172D" w:rsidRDefault="0052172D" w:rsidP="0052172D">
      <w:r>
        <w:t>Od roku 2009 až do současnosti se kapacita těchto zařízení různě měnila, avšak v žádném roce se neobjevil žadatel o službu, se kterým by ne</w:t>
      </w:r>
      <w:r w:rsidRPr="001B0912">
        <w:t>byla uzavřena smlouva z kapacitních důvodů</w:t>
      </w:r>
      <w:r w:rsidR="00407ADC">
        <w:t xml:space="preserve">. </w:t>
      </w:r>
      <w:r>
        <w:t>Za rok 2013 tuto služby využívalo celkem 61 občanů.</w:t>
      </w:r>
    </w:p>
    <w:tbl>
      <w:tblPr>
        <w:tblW w:w="5360" w:type="dxa"/>
        <w:tblInd w:w="54" w:type="dxa"/>
        <w:tblCellMar>
          <w:left w:w="70" w:type="dxa"/>
          <w:right w:w="70" w:type="dxa"/>
        </w:tblCellMar>
        <w:tblLook w:val="04A0"/>
      </w:tblPr>
      <w:tblGrid>
        <w:gridCol w:w="3340"/>
        <w:gridCol w:w="2020"/>
      </w:tblGrid>
      <w:tr w:rsidR="0052172D" w:rsidRPr="001B0912" w:rsidTr="002D589F">
        <w:trPr>
          <w:trHeight w:val="600"/>
        </w:trPr>
        <w:tc>
          <w:tcPr>
            <w:tcW w:w="3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2172D" w:rsidRPr="001B0912" w:rsidRDefault="0052172D" w:rsidP="002D589F">
            <w:pPr>
              <w:spacing w:after="0"/>
              <w:jc w:val="center"/>
              <w:rPr>
                <w:rFonts w:ascii="Calibri" w:hAnsi="Calibri"/>
                <w:b/>
                <w:bCs/>
                <w:color w:val="000000"/>
                <w:lang w:eastAsia="cs-CZ"/>
              </w:rPr>
            </w:pPr>
            <w:r w:rsidRPr="001B0912">
              <w:rPr>
                <w:rFonts w:ascii="Calibri" w:hAnsi="Calibri"/>
                <w:b/>
                <w:bCs/>
                <w:color w:val="000000"/>
                <w:lang w:eastAsia="cs-CZ"/>
              </w:rPr>
              <w:t>Subjekt</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rsidR="0052172D" w:rsidRPr="001B0912" w:rsidRDefault="0052172D" w:rsidP="002D589F">
            <w:pPr>
              <w:spacing w:after="0"/>
              <w:jc w:val="center"/>
              <w:rPr>
                <w:rFonts w:ascii="Calibri" w:hAnsi="Calibri"/>
                <w:b/>
                <w:bCs/>
                <w:color w:val="000000"/>
                <w:lang w:eastAsia="cs-CZ"/>
              </w:rPr>
            </w:pPr>
            <w:r w:rsidRPr="001B0912">
              <w:rPr>
                <w:rFonts w:ascii="Calibri" w:hAnsi="Calibri"/>
                <w:b/>
                <w:bCs/>
                <w:color w:val="000000"/>
                <w:lang w:eastAsia="cs-CZ"/>
              </w:rPr>
              <w:t xml:space="preserve"> Počet uživatelů služby celkem</w:t>
            </w:r>
          </w:p>
        </w:tc>
      </w:tr>
      <w:tr w:rsidR="0052172D" w:rsidRPr="001B0912" w:rsidTr="002D589F">
        <w:trPr>
          <w:trHeight w:val="300"/>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52172D" w:rsidRPr="001B0912" w:rsidRDefault="0052172D" w:rsidP="002D589F">
            <w:pPr>
              <w:spacing w:after="0"/>
              <w:jc w:val="left"/>
              <w:rPr>
                <w:rFonts w:ascii="Arial" w:hAnsi="Arial" w:cs="Arial"/>
                <w:color w:val="000000"/>
                <w:sz w:val="20"/>
                <w:szCs w:val="20"/>
                <w:lang w:eastAsia="cs-CZ"/>
              </w:rPr>
            </w:pPr>
            <w:r w:rsidRPr="001B0912">
              <w:rPr>
                <w:rFonts w:ascii="Arial" w:hAnsi="Arial" w:cs="Arial"/>
                <w:color w:val="000000"/>
                <w:sz w:val="20"/>
                <w:szCs w:val="20"/>
                <w:lang w:eastAsia="cs-CZ"/>
              </w:rPr>
              <w:t xml:space="preserve">Nové Hrady </w:t>
            </w:r>
          </w:p>
        </w:tc>
        <w:tc>
          <w:tcPr>
            <w:tcW w:w="2020" w:type="dxa"/>
            <w:tcBorders>
              <w:top w:val="nil"/>
              <w:left w:val="nil"/>
              <w:bottom w:val="single" w:sz="4" w:space="0" w:color="auto"/>
              <w:right w:val="single" w:sz="4" w:space="0" w:color="auto"/>
            </w:tcBorders>
            <w:shd w:val="clear" w:color="000000" w:fill="FFFFFF"/>
            <w:vAlign w:val="bottom"/>
            <w:hideMark/>
          </w:tcPr>
          <w:p w:rsidR="0052172D" w:rsidRPr="001B0912" w:rsidRDefault="0052172D" w:rsidP="002D589F">
            <w:pPr>
              <w:spacing w:after="0"/>
              <w:jc w:val="right"/>
              <w:rPr>
                <w:rFonts w:ascii="Calibri" w:hAnsi="Calibri"/>
                <w:color w:val="000000"/>
                <w:lang w:eastAsia="cs-CZ"/>
              </w:rPr>
            </w:pPr>
            <w:r w:rsidRPr="001B0912">
              <w:rPr>
                <w:rFonts w:ascii="Calibri" w:hAnsi="Calibri"/>
                <w:color w:val="000000"/>
                <w:lang w:eastAsia="cs-CZ"/>
              </w:rPr>
              <w:t>19</w:t>
            </w:r>
          </w:p>
        </w:tc>
      </w:tr>
      <w:tr w:rsidR="0052172D" w:rsidRPr="001B0912" w:rsidTr="002D589F">
        <w:trPr>
          <w:trHeight w:val="300"/>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52172D" w:rsidRPr="001B0912" w:rsidRDefault="0052172D" w:rsidP="002D589F">
            <w:pPr>
              <w:spacing w:after="0"/>
              <w:jc w:val="left"/>
              <w:rPr>
                <w:rFonts w:ascii="Arial" w:hAnsi="Arial" w:cs="Arial"/>
                <w:color w:val="000000"/>
                <w:sz w:val="20"/>
                <w:szCs w:val="20"/>
                <w:lang w:eastAsia="cs-CZ"/>
              </w:rPr>
            </w:pPr>
            <w:r w:rsidRPr="001B0912">
              <w:rPr>
                <w:rFonts w:ascii="Arial" w:hAnsi="Arial" w:cs="Arial"/>
                <w:color w:val="000000"/>
                <w:sz w:val="20"/>
                <w:szCs w:val="20"/>
                <w:lang w:eastAsia="cs-CZ"/>
              </w:rPr>
              <w:t>Litomyšl</w:t>
            </w:r>
          </w:p>
        </w:tc>
        <w:tc>
          <w:tcPr>
            <w:tcW w:w="2020" w:type="dxa"/>
            <w:tcBorders>
              <w:top w:val="nil"/>
              <w:left w:val="nil"/>
              <w:bottom w:val="single" w:sz="4" w:space="0" w:color="auto"/>
              <w:right w:val="single" w:sz="4" w:space="0" w:color="auto"/>
            </w:tcBorders>
            <w:shd w:val="clear" w:color="000000" w:fill="FFFFFF"/>
            <w:noWrap/>
            <w:vAlign w:val="bottom"/>
            <w:hideMark/>
          </w:tcPr>
          <w:p w:rsidR="0052172D" w:rsidRPr="001B0912" w:rsidRDefault="0052172D" w:rsidP="002D589F">
            <w:pPr>
              <w:spacing w:after="0"/>
              <w:jc w:val="right"/>
              <w:rPr>
                <w:rFonts w:ascii="Calibri" w:hAnsi="Calibri"/>
                <w:color w:val="000000"/>
                <w:lang w:eastAsia="cs-CZ"/>
              </w:rPr>
            </w:pPr>
            <w:r w:rsidRPr="001B0912">
              <w:rPr>
                <w:rFonts w:ascii="Calibri" w:hAnsi="Calibri"/>
                <w:color w:val="000000"/>
                <w:lang w:eastAsia="cs-CZ"/>
              </w:rPr>
              <w:t>23</w:t>
            </w:r>
          </w:p>
        </w:tc>
      </w:tr>
      <w:tr w:rsidR="0052172D" w:rsidRPr="001B0912" w:rsidTr="002D589F">
        <w:trPr>
          <w:trHeight w:val="510"/>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52172D" w:rsidRPr="001B0912" w:rsidRDefault="0052172D" w:rsidP="002D589F">
            <w:pPr>
              <w:spacing w:after="0"/>
              <w:jc w:val="left"/>
              <w:rPr>
                <w:rFonts w:ascii="Arial" w:hAnsi="Arial" w:cs="Arial"/>
                <w:color w:val="000000"/>
                <w:sz w:val="20"/>
                <w:szCs w:val="20"/>
                <w:lang w:eastAsia="cs-CZ"/>
              </w:rPr>
            </w:pPr>
            <w:r w:rsidRPr="001B0912">
              <w:rPr>
                <w:rFonts w:ascii="Arial" w:hAnsi="Arial" w:cs="Arial"/>
                <w:color w:val="000000"/>
                <w:sz w:val="20"/>
                <w:szCs w:val="20"/>
                <w:lang w:eastAsia="cs-CZ"/>
              </w:rPr>
              <w:t>Vysoké Mýto (osoby se zdrav. postižením)</w:t>
            </w:r>
          </w:p>
        </w:tc>
        <w:tc>
          <w:tcPr>
            <w:tcW w:w="2020" w:type="dxa"/>
            <w:tcBorders>
              <w:top w:val="nil"/>
              <w:left w:val="nil"/>
              <w:bottom w:val="single" w:sz="4" w:space="0" w:color="auto"/>
              <w:right w:val="single" w:sz="4" w:space="0" w:color="auto"/>
            </w:tcBorders>
            <w:shd w:val="clear" w:color="000000" w:fill="FFFFFF"/>
            <w:noWrap/>
            <w:vAlign w:val="bottom"/>
            <w:hideMark/>
          </w:tcPr>
          <w:p w:rsidR="0052172D" w:rsidRPr="001B0912" w:rsidRDefault="0052172D" w:rsidP="002D589F">
            <w:pPr>
              <w:spacing w:after="0"/>
              <w:jc w:val="right"/>
              <w:rPr>
                <w:rFonts w:ascii="Calibri" w:hAnsi="Calibri"/>
                <w:color w:val="000000"/>
                <w:lang w:eastAsia="cs-CZ"/>
              </w:rPr>
            </w:pPr>
            <w:r w:rsidRPr="001B0912">
              <w:rPr>
                <w:rFonts w:ascii="Calibri" w:hAnsi="Calibri"/>
                <w:color w:val="000000"/>
                <w:lang w:eastAsia="cs-CZ"/>
              </w:rPr>
              <w:t>19</w:t>
            </w:r>
          </w:p>
        </w:tc>
      </w:tr>
      <w:tr w:rsidR="0052172D" w:rsidRPr="001B0912" w:rsidTr="002D589F">
        <w:trPr>
          <w:trHeight w:val="300"/>
        </w:trPr>
        <w:tc>
          <w:tcPr>
            <w:tcW w:w="3340" w:type="dxa"/>
            <w:tcBorders>
              <w:top w:val="nil"/>
              <w:left w:val="single" w:sz="4" w:space="0" w:color="auto"/>
              <w:bottom w:val="single" w:sz="4" w:space="0" w:color="auto"/>
              <w:right w:val="single" w:sz="4" w:space="0" w:color="auto"/>
            </w:tcBorders>
            <w:shd w:val="clear" w:color="000000" w:fill="FFFFFF"/>
            <w:vAlign w:val="center"/>
            <w:hideMark/>
          </w:tcPr>
          <w:p w:rsidR="0052172D" w:rsidRPr="001B0912" w:rsidRDefault="0052172D" w:rsidP="002D589F">
            <w:pPr>
              <w:spacing w:after="0"/>
              <w:jc w:val="left"/>
              <w:rPr>
                <w:rFonts w:ascii="Arial" w:hAnsi="Arial" w:cs="Arial"/>
                <w:color w:val="000000"/>
                <w:sz w:val="20"/>
                <w:szCs w:val="20"/>
                <w:lang w:eastAsia="cs-CZ"/>
              </w:rPr>
            </w:pPr>
            <w:r w:rsidRPr="001B0912">
              <w:rPr>
                <w:rFonts w:ascii="Arial" w:hAnsi="Arial" w:cs="Arial"/>
                <w:color w:val="000000"/>
                <w:sz w:val="20"/>
                <w:szCs w:val="20"/>
                <w:lang w:eastAsia="cs-CZ"/>
              </w:rPr>
              <w:t>Celkem</w:t>
            </w:r>
          </w:p>
        </w:tc>
        <w:tc>
          <w:tcPr>
            <w:tcW w:w="2020" w:type="dxa"/>
            <w:tcBorders>
              <w:top w:val="nil"/>
              <w:left w:val="nil"/>
              <w:bottom w:val="single" w:sz="4" w:space="0" w:color="auto"/>
              <w:right w:val="single" w:sz="4" w:space="0" w:color="auto"/>
            </w:tcBorders>
            <w:shd w:val="clear" w:color="auto" w:fill="auto"/>
            <w:noWrap/>
            <w:vAlign w:val="bottom"/>
            <w:hideMark/>
          </w:tcPr>
          <w:p w:rsidR="0052172D" w:rsidRPr="001B0912" w:rsidRDefault="0052172D" w:rsidP="002D589F">
            <w:pPr>
              <w:spacing w:after="0"/>
              <w:jc w:val="right"/>
              <w:rPr>
                <w:rFonts w:ascii="Calibri" w:hAnsi="Calibri"/>
                <w:color w:val="000000"/>
                <w:lang w:eastAsia="cs-CZ"/>
              </w:rPr>
            </w:pPr>
            <w:r w:rsidRPr="001B0912">
              <w:rPr>
                <w:rFonts w:ascii="Calibri" w:hAnsi="Calibri"/>
                <w:color w:val="000000"/>
                <w:lang w:eastAsia="cs-CZ"/>
              </w:rPr>
              <w:t>61</w:t>
            </w:r>
          </w:p>
        </w:tc>
      </w:tr>
    </w:tbl>
    <w:p w:rsidR="0052172D" w:rsidRDefault="0052172D" w:rsidP="0052172D">
      <w:r>
        <w:t>Tab.: Denní stacionáře a počty uživatelů v roce 2013</w:t>
      </w:r>
      <w:r w:rsidR="009333FD">
        <w:t xml:space="preserve"> (zdroj: KÚ Pardubického kraje, </w:t>
      </w:r>
      <w:r w:rsidR="009333FD" w:rsidRPr="009333FD">
        <w:t>Vytváření místního partnerství – benchmarking sociálních služeb Pardubického kraje, verze 6.0</w:t>
      </w:r>
      <w:r w:rsidR="009333FD">
        <w:t>)</w:t>
      </w:r>
    </w:p>
    <w:p w:rsidR="0052172D" w:rsidRPr="002768EE" w:rsidRDefault="0052172D" w:rsidP="0052172D">
      <w:pPr>
        <w:rPr>
          <w:u w:val="single"/>
        </w:rPr>
      </w:pPr>
      <w:r w:rsidRPr="002768EE">
        <w:rPr>
          <w:u w:val="single"/>
        </w:rPr>
        <w:lastRenderedPageBreak/>
        <w:t>Domovy se zvláštním režimem</w:t>
      </w:r>
    </w:p>
    <w:p w:rsidR="0052172D" w:rsidRDefault="0052172D" w:rsidP="0052172D">
      <w:r>
        <w:t>Centrum sociální pomoci města Litomyšle také provozuje domov se zvláštním režimem. Zde je poskytována sociální péče lidem trpícím stařeckou, Alzheimerovou a ostatními typy demencí. Snahou je, co nejdéle udržet či zlepšit kvalitu jejich života v době, kdy snížená soběstačnost z důvodu nemoci vyžaduje pravidelnou pomoc druhých osob a tuto pomoc ve vlastním domácím prostředí již nelze zajistit. Centrum nabízí a poskytuje péči, dohled, aktivizaci a pravidelný režim přizpůsobený specifickým potřebám nemocných s možností svobodného pohybu v chráněném prostoru a s respektováním individuality a důstojnosti každého člověka. Toto zařízení má k dispozici 25 lůžek.</w:t>
      </w:r>
      <w:r w:rsidR="00112489">
        <w:rPr>
          <w:rStyle w:val="Znakapoznpodarou"/>
        </w:rPr>
        <w:footnoteReference w:id="28"/>
      </w:r>
    </w:p>
    <w:p w:rsidR="0052172D" w:rsidRDefault="0052172D" w:rsidP="0052172D">
      <w:pPr>
        <w:rPr>
          <w:u w:val="single"/>
        </w:rPr>
      </w:pPr>
      <w:r w:rsidRPr="00652527">
        <w:rPr>
          <w:u w:val="single"/>
        </w:rPr>
        <w:t>Chráněné bydlení</w:t>
      </w:r>
    </w:p>
    <w:p w:rsidR="0052172D" w:rsidRPr="00652527" w:rsidRDefault="0052172D" w:rsidP="0052172D">
      <w:r w:rsidRPr="00652527">
        <w:t>Sociální službu Chráněné bydlení poskytuje BERENIKA Vysoké Mýto o.p.s</w:t>
      </w:r>
      <w:r>
        <w:t>. Cílem této pomoci je poskytnout dospělým lidem s mentálním a tělesným postižením individuální podporu k dosažení samostatnosti a nezávislosti v oblasti bydlení a to formou nácviku v podmínkách chráněného bydlení. Služba Chráněného bydlení je určena pro lidi s mentálním i tělesným postižením starších 18 let. Kapacita této služby je max. 12 osob z toho max. 4 osoby s invalidním vozíkem.</w:t>
      </w:r>
      <w:r w:rsidR="00112489">
        <w:rPr>
          <w:rStyle w:val="Znakapoznpodarou"/>
        </w:rPr>
        <w:footnoteReference w:id="29"/>
      </w:r>
    </w:p>
    <w:p w:rsidR="0052172D" w:rsidRPr="004C2120" w:rsidRDefault="0052172D" w:rsidP="0052172D">
      <w:pPr>
        <w:rPr>
          <w:u w:val="single"/>
        </w:rPr>
      </w:pPr>
      <w:r w:rsidRPr="004C2120">
        <w:rPr>
          <w:u w:val="single"/>
        </w:rPr>
        <w:t>Nízkoprahová zařízení pro děti a mládež</w:t>
      </w:r>
    </w:p>
    <w:p w:rsidR="0052172D" w:rsidRPr="004C2120" w:rsidRDefault="00132255" w:rsidP="0052172D">
      <w:r>
        <w:t>N</w:t>
      </w:r>
      <w:r w:rsidR="0052172D" w:rsidRPr="001D75C0">
        <w:t>ízkoprahov</w:t>
      </w:r>
      <w:r>
        <w:t>á</w:t>
      </w:r>
      <w:r w:rsidR="0052172D" w:rsidRPr="001D75C0">
        <w:t xml:space="preserve"> zařízení pro děti a mládež </w:t>
      </w:r>
      <w:r>
        <w:t>jsou</w:t>
      </w:r>
      <w:r w:rsidR="0052172D" w:rsidRPr="001D75C0">
        <w:t xml:space="preserve"> provozován</w:t>
      </w:r>
      <w:r>
        <w:t>a</w:t>
      </w:r>
      <w:r w:rsidR="0052172D" w:rsidRPr="001D75C0">
        <w:t xml:space="preserve"> v Litomyšli</w:t>
      </w:r>
      <w:r>
        <w:t xml:space="preserve"> a ve Vysokém Mýtě</w:t>
      </w:r>
      <w:r w:rsidR="0052172D" w:rsidRPr="001D75C0">
        <w:t>. Zde je poskytována ambulantní péče pro děti a mládež ve věku od 6 do 26 let, které jsou ohrožené společensky nežádoucími jevy.</w:t>
      </w:r>
    </w:p>
    <w:p w:rsidR="0052172D" w:rsidRPr="004C2120" w:rsidRDefault="0052172D" w:rsidP="0052172D">
      <w:pPr>
        <w:rPr>
          <w:u w:val="single"/>
        </w:rPr>
      </w:pPr>
      <w:r w:rsidRPr="004C2120">
        <w:rPr>
          <w:u w:val="single"/>
        </w:rPr>
        <w:t>Sociálně aktivizační služby pro rodiny s dětmi</w:t>
      </w:r>
    </w:p>
    <w:p w:rsidR="0052172D" w:rsidRDefault="0052172D" w:rsidP="0052172D">
      <w:r>
        <w:lastRenderedPageBreak/>
        <w:t>Sociálně aktivizační služby pro rodiny s dětmi jsou poskytovány Farní charitou Litomyšl - služba sanace rodiny a Oblastní Charitou Nové Hrady u Skutče. Cílovou skupinou této služby jsou rodiny s dětmi, u kterých existují rizika ohrožení vývoje dětí v důsledku nepříznivé životní situace rodiny, kterou nejsou rodiče sami bez pomoci schopni zvládnout. Farní charita Litomyšl provozuje služby terénní nebo ambulantní formou. Oblastní charita Nové Hrady u Skutče poskytuje pomoc formou osobních návštěv sociální pracovnice nebo pracovnice v sociálních službách v přirozeném sociálním prostředí uživatele. V Litomyšli funguje program Rodinného centra, kde je součástí služby Miniškolka, která zde nahrazuje zařízení jeslí, které v oblasti jinak zcela chybí.</w:t>
      </w:r>
    </w:p>
    <w:p w:rsidR="0052172D" w:rsidRPr="003551C3" w:rsidRDefault="0052172D" w:rsidP="0052172D">
      <w:pPr>
        <w:rPr>
          <w:u w:val="single"/>
        </w:rPr>
      </w:pPr>
      <w:r w:rsidRPr="003551C3">
        <w:rPr>
          <w:u w:val="single"/>
        </w:rPr>
        <w:t>Sociálně aktivizační služby pro seniory a osoby s postižením</w:t>
      </w:r>
    </w:p>
    <w:p w:rsidR="0052172D" w:rsidRDefault="0052172D" w:rsidP="0052172D">
      <w:r>
        <w:t>Sociálně aktivizační služby pro seniory a osoby s postižením jsou zajišťovány formou ambulantní péče Rukou pro život o.p.s. v Litomyšli pro osoby starší 55 let.</w:t>
      </w:r>
    </w:p>
    <w:p w:rsidR="0052172D" w:rsidRPr="003551C3" w:rsidRDefault="0052172D" w:rsidP="0052172D">
      <w:pPr>
        <w:rPr>
          <w:u w:val="single"/>
        </w:rPr>
      </w:pPr>
      <w:r w:rsidRPr="003551C3">
        <w:rPr>
          <w:u w:val="single"/>
        </w:rPr>
        <w:t>Sociálně terapeutické dílny</w:t>
      </w:r>
    </w:p>
    <w:p w:rsidR="0052172D" w:rsidRDefault="0052172D" w:rsidP="0052172D">
      <w:r>
        <w:t>Služby sociálně terapeutické dílny jsou poskytovány Oblastní charitou Nové Hrady u Skutče a jsou určeny osobám od 16 do 64 let, s kombinovaným, mentálním, tělesným postižením, osobám s chronicky duševním onemocněním a sníženou soběstačností. Uživatelům je poskytnuta pomoc při osobní hygieně nebo poskytnutí podmínek pro osobní hygienu, poskytnutí stravy nebo pomoc při zajištění stravy, nácvik dovedností pro zvládání péče o vlastní osobu, soběstačnosti a da</w:t>
      </w:r>
      <w:r w:rsidR="00BA6E18">
        <w:t>lších činností vedoucích k sociá</w:t>
      </w:r>
      <w:r>
        <w:t>l</w:t>
      </w:r>
      <w:r w:rsidR="00BA6E18">
        <w:t>nímu</w:t>
      </w:r>
      <w:r>
        <w:t xml:space="preserve"> začlenění, podpora vytváření a zdokonalování základních pracovních návyků a dovedností, volnočasové aktivity. Součástí zařízení je výtvarná dílna, keramická díl</w:t>
      </w:r>
      <w:r w:rsidR="00112489">
        <w:t>na, šicí dílna a cvičný obchod.</w:t>
      </w:r>
      <w:r w:rsidR="00112489">
        <w:rPr>
          <w:rStyle w:val="Znakapoznpodarou"/>
        </w:rPr>
        <w:footnoteReference w:id="30"/>
      </w:r>
    </w:p>
    <w:p w:rsidR="0052172D" w:rsidRPr="00FB62AB" w:rsidRDefault="0052172D" w:rsidP="0052172D">
      <w:pPr>
        <w:rPr>
          <w:u w:val="single"/>
        </w:rPr>
      </w:pPr>
      <w:r w:rsidRPr="00FB62AB">
        <w:rPr>
          <w:u w:val="single"/>
        </w:rPr>
        <w:t xml:space="preserve">Terénní programy </w:t>
      </w:r>
    </w:p>
    <w:p w:rsidR="0052172D" w:rsidRDefault="0052172D" w:rsidP="0052172D">
      <w:r>
        <w:t xml:space="preserve">Město Vysoké Mýto zajišťuje sociální službu terénní programy, která je zaměřena na </w:t>
      </w:r>
      <w:r w:rsidRPr="00CF434A">
        <w:t>osoby žijící v sociálně vyloučených komunitách</w:t>
      </w:r>
      <w:r>
        <w:t xml:space="preserve"> romského původu. Tato služby funguje teprve od počátku roku 2013 a jejím cílem je podpora a pomoc romským obyvatelům především </w:t>
      </w:r>
      <w:r>
        <w:lastRenderedPageBreak/>
        <w:t>v oblastech ubytování, financí, zaměstnanosti, jednání s úřady, vzděláním a výchovou d</w:t>
      </w:r>
      <w:r w:rsidR="00407ADC">
        <w:t>ětí a řešení obtížných situací.</w:t>
      </w:r>
      <w:r w:rsidR="001C1B7F">
        <w:rPr>
          <w:rStyle w:val="Znakapoznpodarou"/>
        </w:rPr>
        <w:footnoteReference w:id="31"/>
      </w:r>
    </w:p>
    <w:p w:rsidR="00407ADC" w:rsidRDefault="00407ADC" w:rsidP="0052172D">
      <w:pPr>
        <w:rPr>
          <w:u w:val="single"/>
        </w:rPr>
      </w:pPr>
      <w:r w:rsidRPr="00407ADC">
        <w:rPr>
          <w:u w:val="single"/>
        </w:rPr>
        <w:t>Sociální podnikání</w:t>
      </w:r>
    </w:p>
    <w:p w:rsidR="00407ADC" w:rsidRDefault="00407ADC" w:rsidP="0052172D">
      <w:r>
        <w:t>V regionu působí několik podniků zaměřených na zaměstnávání osob znevýhodněných na trhu práce (především zdravotně).</w:t>
      </w:r>
    </w:p>
    <w:p w:rsidR="00407ADC" w:rsidRDefault="00407ADC" w:rsidP="00407ADC">
      <w:r w:rsidRPr="00AA69EF">
        <w:t>Ve městě Litomyšli zřízen sociální podnik typu zdravé jídelny, kde jsou převážně zaměstnávány osoby se zdravotním a mentálním postižením od osmnácti let. Ve Vysokém Mýtě na podobném principu působí chráněná dílna Coffee Club Berenika – tak trochu jiný Svět.</w:t>
      </w:r>
      <w:r>
        <w:t xml:space="preserve"> V Proseči u Skutče již dlouhodobě působí družstvo invalidů Ergotep, který je rovněž významným lokálním zaměstnavatelem. Předmětem jeho činnosti je zejména zajišťování služeb pro internetové obchody a bankovní sektor.</w:t>
      </w:r>
      <w:r w:rsidR="001C1B7F">
        <w:rPr>
          <w:rStyle w:val="Znakapoznpodarou"/>
        </w:rPr>
        <w:footnoteReference w:id="32"/>
      </w:r>
    </w:p>
    <w:p w:rsidR="0052172D" w:rsidRDefault="0052172D" w:rsidP="0052172D">
      <w:pPr>
        <w:rPr>
          <w:u w:val="single"/>
        </w:rPr>
      </w:pPr>
      <w:r w:rsidRPr="00AA69EF">
        <w:rPr>
          <w:u w:val="single"/>
        </w:rPr>
        <w:t>Ostatní sociální služby</w:t>
      </w:r>
    </w:p>
    <w:p w:rsidR="00DC794B" w:rsidRDefault="00DC794B" w:rsidP="0052172D">
      <w:r w:rsidRPr="00DC794B">
        <w:t xml:space="preserve">V regionu </w:t>
      </w:r>
      <w:r>
        <w:t xml:space="preserve">působí </w:t>
      </w:r>
      <w:r w:rsidR="0001415C">
        <w:t>ještě řada dalších poskytovatelů sociálních a poradenských služeb, a to jak z neziskového tak z podnikatelského sektoru. Tyto služby však jsou vzhledem k výše uvedeným méně významné.</w:t>
      </w:r>
    </w:p>
    <w:p w:rsidR="0001415C" w:rsidRPr="00DC794B" w:rsidRDefault="0001415C" w:rsidP="0052172D">
      <w:r>
        <w:t xml:space="preserve">Rovněž zde nejsou rozpracovávány orgány a organizační složky subjektů státní správy a samosprávy, které se řídí zejména aktuální legislativou a </w:t>
      </w:r>
      <w:r w:rsidR="00AC3476">
        <w:t>jejich činnost není předmětem komunitního plánování.</w:t>
      </w:r>
    </w:p>
    <w:p w:rsidR="0052172D" w:rsidRDefault="00BB1CE8" w:rsidP="00BB1CE8">
      <w:pPr>
        <w:pStyle w:val="Nadpis5"/>
      </w:pPr>
      <w:r>
        <w:t>Pohled regionálních aktérů</w:t>
      </w:r>
    </w:p>
    <w:p w:rsidR="00BB1CE8" w:rsidRDefault="00BB1CE8" w:rsidP="00BB1CE8">
      <w:r>
        <w:t>Více než polovina starostů obcí považuje nabídku sociálních služeb jako spíše dostačující. 12% starostů uvedlo, že nabídka sociálních služeb je zcela dostačující. 21% označuje nabídku soc. služeb jako spíše nevyhovující. Žádný z dotázaných neuvedl, že je v obci zcela nedostačující nabídka soc. služeb.</w:t>
      </w:r>
    </w:p>
    <w:p w:rsidR="009E0367" w:rsidRDefault="009E0367" w:rsidP="009E0367">
      <w:r>
        <w:lastRenderedPageBreak/>
        <w:t>Obyvatelé jsou z 21% s nabídkou sociálních služeb zcela spokojeni. 39% uvádějí, že nabídka sociálních služeb je spíše dostačující. 29% hodnotí nabídku soc. služeb záporně a z toho 9% jako zcela nevyhovující. 11% obyvatel svůj názor neuvedlo.</w:t>
      </w:r>
    </w:p>
    <w:p w:rsidR="00480A8B" w:rsidRDefault="00480A8B" w:rsidP="009E0367">
      <w:r>
        <w:t xml:space="preserve">Větší kritičnost občanů může vycházet z rozdílné informovanosti občanů a zástupců obcí. </w:t>
      </w:r>
      <w:r w:rsidR="00EF388D">
        <w:t>Někteří z</w:t>
      </w:r>
      <w:r>
        <w:t>ástupci obcí komunikují s poskytovateli sociálních služeb a finančně je podporují, zatímco tato spolupráce se občanů dotkne případně pouze jako konzumentů služeb (pokud se o nich dozvědí).</w:t>
      </w:r>
    </w:p>
    <w:p w:rsidR="00BB1CE8" w:rsidRDefault="00BB1CE8" w:rsidP="00BB1CE8">
      <w:r w:rsidRPr="007948F2">
        <w:rPr>
          <w:noProof/>
          <w:lang w:eastAsia="cs-CZ"/>
        </w:rPr>
        <w:drawing>
          <wp:inline distT="0" distB="0" distL="0" distR="0">
            <wp:extent cx="2762250" cy="1828800"/>
            <wp:effectExtent l="19050" t="0" r="19050" b="0"/>
            <wp:docPr id="1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9E0367" w:rsidRPr="009E0367">
        <w:rPr>
          <w:noProof/>
          <w:lang w:eastAsia="cs-CZ"/>
        </w:rPr>
        <w:drawing>
          <wp:inline distT="0" distB="0" distL="0" distR="0">
            <wp:extent cx="2867025" cy="1828800"/>
            <wp:effectExtent l="19050" t="0" r="9525" b="0"/>
            <wp:docPr id="86"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B1CE8" w:rsidRPr="00D93645" w:rsidRDefault="00BB1CE8" w:rsidP="00BB1CE8">
      <w:r w:rsidRPr="00D93645">
        <w:t xml:space="preserve">Graf.: </w:t>
      </w:r>
      <w:r>
        <w:t>Nabídka sociálních služeb v obci</w:t>
      </w:r>
      <w:r w:rsidRPr="00D93645">
        <w:t xml:space="preserve"> z pohledu starostů</w:t>
      </w:r>
      <w:r w:rsidR="009E0367">
        <w:t xml:space="preserve"> vlevo, pohled občanů vpravo</w:t>
      </w:r>
    </w:p>
    <w:p w:rsidR="00BB1CE8" w:rsidRDefault="00BB1CE8" w:rsidP="00BB1CE8">
      <w:r>
        <w:t>Celkově z průzkumu vyplívá převážná spokojenost obyvatel i starostů obcí se</w:t>
      </w:r>
      <w:r w:rsidR="00480A8B">
        <w:t xml:space="preserve"> současným stavem </w:t>
      </w:r>
      <w:r>
        <w:t>sociálních služeb v oblasti. V názorech převládá většina spokojených obyvatel se službami sociálními a zdravotními.</w:t>
      </w:r>
      <w:r w:rsidR="00480A8B">
        <w:t xml:space="preserve"> </w:t>
      </w:r>
    </w:p>
    <w:p w:rsidR="0052172D" w:rsidRPr="0091684D" w:rsidRDefault="00957CDF" w:rsidP="00957CDF">
      <w:pPr>
        <w:pStyle w:val="Nadpis5"/>
      </w:pPr>
      <w:r>
        <w:t>Shrnutí informací o sociální péči</w:t>
      </w:r>
    </w:p>
    <w:p w:rsidR="00197661" w:rsidRDefault="00197661" w:rsidP="00197661">
      <w:r>
        <w:t>Největší množství poskytovaných sociálních a zdravotních služeb se koncentruje do obcí Litomyšl a Vysoké Mýto. V oblasti se však nachází i poměrně velké množství poskytovatelů zdravotních a sociálních služeb v menších obcích, území je tak dostatečně pokryto poskytovateli těchto služeb. Obyvatelům</w:t>
      </w:r>
      <w:r w:rsidRPr="005A2FCF">
        <w:t xml:space="preserve"> jsou nabízeny jak pobytové, tak terénní a ambulantní služby. </w:t>
      </w:r>
    </w:p>
    <w:p w:rsidR="00957CDF" w:rsidRPr="00957CDF" w:rsidRDefault="00957CDF" w:rsidP="00BB1CE8">
      <w:pPr>
        <w:rPr>
          <w:rFonts w:eastAsia="TimesNewRomanPSMT"/>
        </w:rPr>
      </w:pPr>
    </w:p>
    <w:tbl>
      <w:tblPr>
        <w:tblStyle w:val="Mkatabulky"/>
        <w:tblW w:w="0" w:type="auto"/>
        <w:tblLook w:val="04A0"/>
      </w:tblPr>
      <w:tblGrid>
        <w:gridCol w:w="4606"/>
        <w:gridCol w:w="4606"/>
      </w:tblGrid>
      <w:tr w:rsidR="00957CDF" w:rsidRPr="00957CDF" w:rsidTr="00F34026">
        <w:trPr>
          <w:cantSplit/>
        </w:trPr>
        <w:tc>
          <w:tcPr>
            <w:tcW w:w="4606" w:type="dxa"/>
            <w:shd w:val="clear" w:color="auto" w:fill="D6E3BC" w:themeFill="accent3" w:themeFillTint="66"/>
          </w:tcPr>
          <w:p w:rsidR="00957CDF" w:rsidRPr="002B5C0D" w:rsidRDefault="00957CDF" w:rsidP="00F34026">
            <w:pPr>
              <w:rPr>
                <w:b/>
              </w:rPr>
            </w:pPr>
            <w:r w:rsidRPr="002B5C0D">
              <w:rPr>
                <w:b/>
              </w:rPr>
              <w:t>S „Silné stránky“</w:t>
            </w:r>
          </w:p>
        </w:tc>
        <w:tc>
          <w:tcPr>
            <w:tcW w:w="4606" w:type="dxa"/>
            <w:shd w:val="clear" w:color="auto" w:fill="FBD4B4" w:themeFill="accent6" w:themeFillTint="66"/>
          </w:tcPr>
          <w:p w:rsidR="00957CDF" w:rsidRPr="002B5C0D" w:rsidRDefault="00957CDF" w:rsidP="00F34026">
            <w:pPr>
              <w:rPr>
                <w:b/>
              </w:rPr>
            </w:pPr>
            <w:r w:rsidRPr="002B5C0D">
              <w:rPr>
                <w:b/>
              </w:rPr>
              <w:t>W „Slabé stránky“</w:t>
            </w:r>
          </w:p>
        </w:tc>
      </w:tr>
      <w:tr w:rsidR="00957CDF" w:rsidRPr="00957CDF" w:rsidTr="00F34026">
        <w:trPr>
          <w:cantSplit/>
          <w:trHeight w:val="2309"/>
        </w:trPr>
        <w:tc>
          <w:tcPr>
            <w:tcW w:w="4606" w:type="dxa"/>
            <w:shd w:val="clear" w:color="auto" w:fill="EAF1DD" w:themeFill="accent3" w:themeFillTint="33"/>
          </w:tcPr>
          <w:p w:rsidR="00957CDF" w:rsidRPr="002B5C0D" w:rsidRDefault="00957CDF" w:rsidP="00A60AC9">
            <w:pPr>
              <w:pStyle w:val="Odstavecseseznamem"/>
              <w:numPr>
                <w:ilvl w:val="0"/>
                <w:numId w:val="26"/>
              </w:numPr>
            </w:pPr>
            <w:r w:rsidRPr="002B5C0D">
              <w:lastRenderedPageBreak/>
              <w:t xml:space="preserve">V současnosti dobrá </w:t>
            </w:r>
            <w:r w:rsidR="002B5C0D" w:rsidRPr="002B5C0D">
              <w:t>úroveň a pokrytí území sociálními službami.</w:t>
            </w:r>
          </w:p>
          <w:p w:rsidR="00206C18" w:rsidRPr="002B5C0D" w:rsidRDefault="00206C18" w:rsidP="00A60AC9">
            <w:pPr>
              <w:pStyle w:val="Odstavecseseznamem"/>
              <w:numPr>
                <w:ilvl w:val="0"/>
                <w:numId w:val="26"/>
              </w:numPr>
            </w:pPr>
            <w:r w:rsidRPr="002B5C0D">
              <w:t>Současná spolupráce poskytovatelů sociálních služeb</w:t>
            </w:r>
            <w:r w:rsidR="002B5C0D" w:rsidRPr="002B5C0D">
              <w:t xml:space="preserve"> mezi sebou i s obcemi</w:t>
            </w:r>
            <w:r w:rsidRPr="002B5C0D">
              <w:t>.</w:t>
            </w:r>
          </w:p>
          <w:p w:rsidR="002B5C0D" w:rsidRDefault="002B5C0D" w:rsidP="00A60AC9">
            <w:pPr>
              <w:pStyle w:val="Odstavecseseznamem"/>
              <w:numPr>
                <w:ilvl w:val="0"/>
                <w:numId w:val="26"/>
              </w:numPr>
            </w:pPr>
            <w:r w:rsidRPr="002B5C0D">
              <w:t>Vysoce kvalitní a kvalifikovaný personál poskytovatelů sociálních služeb.</w:t>
            </w:r>
          </w:p>
          <w:p w:rsidR="00957CDF" w:rsidRPr="002B5C0D" w:rsidRDefault="002B5C0D" w:rsidP="00A60AC9">
            <w:pPr>
              <w:pStyle w:val="Odstavecseseznamem"/>
              <w:numPr>
                <w:ilvl w:val="0"/>
                <w:numId w:val="26"/>
              </w:numPr>
            </w:pPr>
            <w:r>
              <w:t>Praxe zavedených sociálních podniků.</w:t>
            </w:r>
          </w:p>
        </w:tc>
        <w:tc>
          <w:tcPr>
            <w:tcW w:w="4606" w:type="dxa"/>
            <w:shd w:val="clear" w:color="auto" w:fill="FDE9D9" w:themeFill="accent6" w:themeFillTint="33"/>
          </w:tcPr>
          <w:p w:rsidR="00957CDF" w:rsidRDefault="002B5C0D" w:rsidP="00A60AC9">
            <w:pPr>
              <w:pStyle w:val="Odstavecseseznamem"/>
              <w:numPr>
                <w:ilvl w:val="0"/>
                <w:numId w:val="25"/>
              </w:numPr>
            </w:pPr>
            <w:r>
              <w:t>Problémy s financováním sociálních služeb.</w:t>
            </w:r>
          </w:p>
          <w:p w:rsidR="00DB4571" w:rsidRDefault="00DB4571" w:rsidP="00A60AC9">
            <w:pPr>
              <w:pStyle w:val="Odstavecseseznamem"/>
              <w:numPr>
                <w:ilvl w:val="0"/>
                <w:numId w:val="25"/>
              </w:numPr>
            </w:pPr>
            <w:r>
              <w:t>Závislost na dopravní obslužnosti při využívání stacionárních sociálních služeb.</w:t>
            </w:r>
          </w:p>
          <w:p w:rsidR="00DB4571" w:rsidRDefault="00DB4571" w:rsidP="00A60AC9">
            <w:pPr>
              <w:pStyle w:val="Odstavecseseznamem"/>
              <w:numPr>
                <w:ilvl w:val="0"/>
                <w:numId w:val="25"/>
              </w:numPr>
            </w:pPr>
            <w:r w:rsidRPr="00A7118B">
              <w:t>Nedostatečná kapacita v domovech pro seniory a dlouhá čekací lhůta</w:t>
            </w:r>
            <w:r w:rsidR="00A7118B">
              <w:t xml:space="preserve"> (zejména na Litomyšlsku)</w:t>
            </w:r>
            <w:r w:rsidR="00A7118B" w:rsidRPr="00A7118B">
              <w:t>.</w:t>
            </w:r>
          </w:p>
          <w:p w:rsidR="00D4716F" w:rsidRPr="002B5C0D" w:rsidRDefault="00D4716F" w:rsidP="00A60AC9">
            <w:pPr>
              <w:pStyle w:val="Odstavecseseznamem"/>
              <w:numPr>
                <w:ilvl w:val="0"/>
                <w:numId w:val="25"/>
              </w:numPr>
            </w:pPr>
            <w:r>
              <w:t>Nedostatek pracovních míst pro znevýhodněné osoby na trhu práce.</w:t>
            </w:r>
          </w:p>
        </w:tc>
      </w:tr>
      <w:tr w:rsidR="00957CDF" w:rsidRPr="00957CDF" w:rsidTr="00F34026">
        <w:trPr>
          <w:cantSplit/>
        </w:trPr>
        <w:tc>
          <w:tcPr>
            <w:tcW w:w="4606" w:type="dxa"/>
            <w:shd w:val="clear" w:color="auto" w:fill="B8CCE4" w:themeFill="accent1" w:themeFillTint="66"/>
          </w:tcPr>
          <w:p w:rsidR="00957CDF" w:rsidRPr="002B5C0D" w:rsidRDefault="00957CDF" w:rsidP="00F34026">
            <w:pPr>
              <w:rPr>
                <w:b/>
              </w:rPr>
            </w:pPr>
            <w:r w:rsidRPr="002B5C0D">
              <w:rPr>
                <w:b/>
              </w:rPr>
              <w:t>O „Příležitosti“</w:t>
            </w:r>
          </w:p>
        </w:tc>
        <w:tc>
          <w:tcPr>
            <w:tcW w:w="4606" w:type="dxa"/>
            <w:shd w:val="clear" w:color="auto" w:fill="E5B8B7" w:themeFill="accent2" w:themeFillTint="66"/>
          </w:tcPr>
          <w:p w:rsidR="00957CDF" w:rsidRPr="002B5C0D" w:rsidRDefault="00957CDF" w:rsidP="00F34026">
            <w:pPr>
              <w:rPr>
                <w:b/>
              </w:rPr>
            </w:pPr>
            <w:r w:rsidRPr="002B5C0D">
              <w:rPr>
                <w:b/>
              </w:rPr>
              <w:t>T „Hrozby“</w:t>
            </w:r>
          </w:p>
        </w:tc>
      </w:tr>
      <w:tr w:rsidR="00957CDF" w:rsidRPr="00957CDF" w:rsidTr="00F34026">
        <w:trPr>
          <w:cantSplit/>
          <w:trHeight w:val="2829"/>
        </w:trPr>
        <w:tc>
          <w:tcPr>
            <w:tcW w:w="4606" w:type="dxa"/>
            <w:shd w:val="clear" w:color="auto" w:fill="DBE5F1" w:themeFill="accent1" w:themeFillTint="33"/>
          </w:tcPr>
          <w:p w:rsidR="00206C18" w:rsidRPr="002B5C0D" w:rsidRDefault="00206C18" w:rsidP="00A60AC9">
            <w:pPr>
              <w:pStyle w:val="Odstavecseseznamem"/>
              <w:numPr>
                <w:ilvl w:val="0"/>
                <w:numId w:val="27"/>
              </w:numPr>
            </w:pPr>
            <w:r w:rsidRPr="002B5C0D">
              <w:t>Využití potenciálu terénních služeb.</w:t>
            </w:r>
          </w:p>
          <w:p w:rsidR="00206C18" w:rsidRPr="002B5C0D" w:rsidRDefault="00206C18" w:rsidP="00A60AC9">
            <w:pPr>
              <w:pStyle w:val="Odstavecseseznamem"/>
              <w:numPr>
                <w:ilvl w:val="0"/>
                <w:numId w:val="27"/>
              </w:numPr>
            </w:pPr>
            <w:r w:rsidRPr="002B5C0D">
              <w:t>Projekty založené na spolupráci poskytovatelů sociálních</w:t>
            </w:r>
            <w:r w:rsidR="002F2A95">
              <w:t xml:space="preserve"> </w:t>
            </w:r>
            <w:r w:rsidRPr="002B5C0D">
              <w:t>služeb.</w:t>
            </w:r>
          </w:p>
          <w:p w:rsidR="00206C18" w:rsidRPr="002B5C0D" w:rsidRDefault="00206C18" w:rsidP="00A60AC9">
            <w:pPr>
              <w:pStyle w:val="Odstavecseseznamem"/>
              <w:numPr>
                <w:ilvl w:val="0"/>
                <w:numId w:val="27"/>
              </w:numPr>
            </w:pPr>
            <w:r w:rsidRPr="002B5C0D">
              <w:t>Místních aktivity (v oblasti kultury, spolkové činnosti, sociální sféře, např. setkání seniorů)</w:t>
            </w:r>
          </w:p>
          <w:p w:rsidR="00957CDF" w:rsidRPr="002B5C0D" w:rsidRDefault="00206C18" w:rsidP="00A60AC9">
            <w:pPr>
              <w:pStyle w:val="Odstavecseseznamem"/>
              <w:numPr>
                <w:ilvl w:val="0"/>
                <w:numId w:val="27"/>
              </w:numPr>
            </w:pPr>
            <w:r w:rsidRPr="002B5C0D">
              <w:t>Možná výstavba domova pro seniory v Litomyšli.</w:t>
            </w:r>
          </w:p>
          <w:p w:rsidR="00206C18" w:rsidRPr="002B5C0D" w:rsidRDefault="00206C18" w:rsidP="00A60AC9">
            <w:pPr>
              <w:pStyle w:val="Odstavecseseznamem"/>
              <w:numPr>
                <w:ilvl w:val="0"/>
                <w:numId w:val="27"/>
              </w:numPr>
            </w:pPr>
            <w:r w:rsidRPr="002B5C0D">
              <w:t>Zajištění vyšší informovanosti o sociálních službách v regionu.</w:t>
            </w:r>
          </w:p>
        </w:tc>
        <w:tc>
          <w:tcPr>
            <w:tcW w:w="4606" w:type="dxa"/>
            <w:shd w:val="clear" w:color="auto" w:fill="F2DBDB" w:themeFill="accent2" w:themeFillTint="33"/>
          </w:tcPr>
          <w:p w:rsidR="00957CDF" w:rsidRPr="002B5C0D" w:rsidRDefault="00957CDF" w:rsidP="00A60AC9">
            <w:pPr>
              <w:pStyle w:val="Odstavecseseznamem"/>
              <w:numPr>
                <w:ilvl w:val="0"/>
                <w:numId w:val="27"/>
              </w:numPr>
            </w:pPr>
            <w:r w:rsidRPr="002B5C0D">
              <w:t>Stárnutí populace a s tím spojené vyšší nároky (a náklady) na zdravotnickou i sociální péči.</w:t>
            </w:r>
          </w:p>
          <w:p w:rsidR="002B5C0D" w:rsidRPr="002B5C0D" w:rsidRDefault="002B5C0D" w:rsidP="00A60AC9">
            <w:pPr>
              <w:pStyle w:val="Odstavecseseznamem"/>
              <w:numPr>
                <w:ilvl w:val="0"/>
                <w:numId w:val="27"/>
              </w:numPr>
            </w:pPr>
            <w:r w:rsidRPr="002B5C0D">
              <w:t>Závislost sociálních služeb na dotacích.</w:t>
            </w:r>
          </w:p>
          <w:p w:rsidR="002B5C0D" w:rsidRPr="002B5C0D" w:rsidRDefault="002B5C0D" w:rsidP="00A60AC9">
            <w:pPr>
              <w:pStyle w:val="Odstavecseseznamem"/>
              <w:numPr>
                <w:ilvl w:val="0"/>
                <w:numId w:val="27"/>
              </w:numPr>
            </w:pPr>
            <w:r w:rsidRPr="002B5C0D">
              <w:t>Rostoucí počet obyvatel sociálně vyloučených z ekonomických důvodů.</w:t>
            </w:r>
          </w:p>
        </w:tc>
      </w:tr>
    </w:tbl>
    <w:p w:rsidR="00957CDF" w:rsidRPr="00957CDF" w:rsidRDefault="00957CDF" w:rsidP="00957CDF">
      <w:pPr>
        <w:rPr>
          <w:rFonts w:eastAsia="TimesNewRomanPSMT" w:cs="TimesNewRomanPSMT"/>
          <w:color w:val="D99594" w:themeColor="accent2" w:themeTint="99"/>
        </w:rPr>
      </w:pPr>
    </w:p>
    <w:p w:rsidR="00957CDF" w:rsidRPr="002F2A95" w:rsidRDefault="002F2A95" w:rsidP="00A60AC9">
      <w:pPr>
        <w:pStyle w:val="Odstavecseseznamem"/>
        <w:numPr>
          <w:ilvl w:val="0"/>
          <w:numId w:val="27"/>
        </w:numPr>
        <w:rPr>
          <w:rFonts w:eastAsia="TimesNewRomanPSMT" w:cs="TimesNewRomanPSMT"/>
        </w:rPr>
      </w:pPr>
      <w:r w:rsidRPr="002F2A95">
        <w:rPr>
          <w:rFonts w:eastAsia="TimesNewRomanPSMT" w:cs="TimesNewRomanPSMT"/>
        </w:rPr>
        <w:t xml:space="preserve">Financování sociálních služeb je závislé na dotačních prostředcích, financování z rozpočtu obcí a spolupodílením se klientů. </w:t>
      </w:r>
      <w:r>
        <w:rPr>
          <w:rFonts w:eastAsia="TimesNewRomanPSMT" w:cs="TimesNewRomanPSMT"/>
        </w:rPr>
        <w:t>Částečný výpadek dotačních prostředků je kompenzovatelný z obecních rozpočtů. Významnější výpadek už by nebyl takto kompenzovatelný a bez dotačních prostředků není ani v možnostech MAS tuto činnost nějak podpořit.</w:t>
      </w:r>
    </w:p>
    <w:p w:rsidR="00957CDF" w:rsidRDefault="002F2A95" w:rsidP="00A60AC9">
      <w:pPr>
        <w:pStyle w:val="Odstavecseseznamem"/>
        <w:numPr>
          <w:ilvl w:val="0"/>
          <w:numId w:val="27"/>
        </w:numPr>
        <w:rPr>
          <w:rFonts w:eastAsia="TimesNewRomanPSMT" w:cs="TimesNewRomanPSMT"/>
        </w:rPr>
      </w:pPr>
      <w:r w:rsidRPr="002F2A95">
        <w:rPr>
          <w:rFonts w:eastAsia="TimesNewRomanPSMT" w:cs="TimesNewRomanPSMT"/>
        </w:rPr>
        <w:lastRenderedPageBreak/>
        <w:t xml:space="preserve">Nedostatečné kapacity domovů pro seniory </w:t>
      </w:r>
      <w:r>
        <w:rPr>
          <w:rFonts w:eastAsia="TimesNewRomanPSMT" w:cs="TimesNewRomanPSMT"/>
        </w:rPr>
        <w:t>v Litomyšli a okolí je možné řešit výše zmíněnou výstavbou nového objektu. Přetlak poptávky nad nabídkou může být v případech s nízkou akutností kompenzovatelný například následujícími způsoby.</w:t>
      </w:r>
    </w:p>
    <w:p w:rsidR="002F2A95" w:rsidRDefault="002F2A95" w:rsidP="00A60AC9">
      <w:pPr>
        <w:pStyle w:val="Odstavecseseznamem"/>
        <w:numPr>
          <w:ilvl w:val="1"/>
          <w:numId w:val="27"/>
        </w:numPr>
        <w:rPr>
          <w:rFonts w:eastAsia="TimesNewRomanPSMT" w:cs="TimesNewRomanPSMT"/>
        </w:rPr>
      </w:pPr>
      <w:r>
        <w:rPr>
          <w:rFonts w:eastAsia="TimesNewRomanPSMT" w:cs="TimesNewRomanPSMT"/>
        </w:rPr>
        <w:t>Substituce terénní pečovatelskou službou.</w:t>
      </w:r>
    </w:p>
    <w:p w:rsidR="002F2A95" w:rsidRDefault="002F2A95" w:rsidP="00A60AC9">
      <w:pPr>
        <w:pStyle w:val="Odstavecseseznamem"/>
        <w:numPr>
          <w:ilvl w:val="1"/>
          <w:numId w:val="27"/>
        </w:numPr>
        <w:rPr>
          <w:rFonts w:eastAsia="TimesNewRomanPSMT" w:cs="TimesNewRomanPSMT"/>
        </w:rPr>
      </w:pPr>
      <w:r>
        <w:rPr>
          <w:rFonts w:eastAsia="TimesNewRomanPSMT" w:cs="TimesNewRomanPSMT"/>
        </w:rPr>
        <w:t>Zapojením seniorů do komunitního života (kluby pro seniory, setkávání seniorů ve vhodných prostorách, vzdělávání, další a</w:t>
      </w:r>
      <w:r w:rsidR="005E605E">
        <w:rPr>
          <w:rFonts w:eastAsia="TimesNewRomanPSMT" w:cs="TimesNewRomanPSMT"/>
        </w:rPr>
        <w:t>k</w:t>
      </w:r>
      <w:r>
        <w:rPr>
          <w:rFonts w:eastAsia="TimesNewRomanPSMT" w:cs="TimesNewRomanPSMT"/>
        </w:rPr>
        <w:t xml:space="preserve">tivity a projekty s předmětem zapojení seniorů do </w:t>
      </w:r>
      <w:r w:rsidR="005E605E">
        <w:rPr>
          <w:rFonts w:eastAsia="TimesNewRomanPSMT" w:cs="TimesNewRomanPSMT"/>
        </w:rPr>
        <w:t>společnosti</w:t>
      </w:r>
      <w:r>
        <w:rPr>
          <w:rFonts w:eastAsia="TimesNewRomanPSMT" w:cs="TimesNewRomanPSMT"/>
        </w:rPr>
        <w:t>)</w:t>
      </w:r>
      <w:r w:rsidR="00E7093A">
        <w:rPr>
          <w:rFonts w:eastAsia="TimesNewRomanPSMT" w:cs="TimesNewRomanPSMT"/>
        </w:rPr>
        <w:t>.</w:t>
      </w:r>
    </w:p>
    <w:p w:rsidR="00E7093A" w:rsidRPr="00E7093A" w:rsidRDefault="00E7093A" w:rsidP="00E7093A">
      <w:pPr>
        <w:ind w:left="708"/>
        <w:rPr>
          <w:rFonts w:eastAsia="TimesNewRomanPSMT" w:cs="TimesNewRomanPSMT"/>
        </w:rPr>
      </w:pPr>
      <w:r>
        <w:rPr>
          <w:rFonts w:eastAsia="TimesNewRomanPSMT" w:cs="TimesNewRomanPSMT"/>
        </w:rPr>
        <w:t>Zapojení do komunity je možné z prostředků lokálních aktérů. Pokud by toto bylo podmíněno většími investicemi např. do vhodných prostor nebo infrastruktury, je to podmíněno dotačními prostředky.</w:t>
      </w:r>
    </w:p>
    <w:p w:rsidR="00957CDF" w:rsidRDefault="00957CDF" w:rsidP="00A60AC9">
      <w:pPr>
        <w:pStyle w:val="Odstavecseseznamem"/>
        <w:numPr>
          <w:ilvl w:val="0"/>
          <w:numId w:val="27"/>
        </w:numPr>
        <w:rPr>
          <w:rFonts w:eastAsia="TimesNewRomanPSMT" w:cs="TimesNewRomanPSMT"/>
        </w:rPr>
      </w:pPr>
      <w:r w:rsidRPr="002F2A95">
        <w:rPr>
          <w:rFonts w:eastAsia="TimesNewRomanPSMT" w:cs="TimesNewRomanPSMT"/>
        </w:rPr>
        <w:t xml:space="preserve">Problém stárnutí populace a související nároky na </w:t>
      </w:r>
      <w:r w:rsidR="002F2A95" w:rsidRPr="002F2A95">
        <w:rPr>
          <w:rFonts w:eastAsia="TimesNewRomanPSMT" w:cs="TimesNewRomanPSMT"/>
        </w:rPr>
        <w:t xml:space="preserve">sociální i </w:t>
      </w:r>
      <w:r w:rsidRPr="002F2A95">
        <w:rPr>
          <w:rFonts w:eastAsia="TimesNewRomanPSMT" w:cs="TimesNewRomanPSMT"/>
        </w:rPr>
        <w:t>zdravotní péči stejně jako závislost na dopravní obslužnosti</w:t>
      </w:r>
      <w:r w:rsidR="009E0367" w:rsidRPr="002F2A95">
        <w:rPr>
          <w:rFonts w:eastAsia="TimesNewRomanPSMT" w:cs="TimesNewRomanPSMT"/>
        </w:rPr>
        <w:t xml:space="preserve"> je eli</w:t>
      </w:r>
      <w:r w:rsidRPr="002F2A95">
        <w:rPr>
          <w:rFonts w:eastAsia="TimesNewRomanPSMT" w:cs="TimesNewRomanPSMT"/>
        </w:rPr>
        <w:t>minovatelný nebo kompenzovatelný několika způsoby.</w:t>
      </w:r>
    </w:p>
    <w:p w:rsidR="005E605E" w:rsidRDefault="005E605E" w:rsidP="00A60AC9">
      <w:pPr>
        <w:pStyle w:val="Odstavecseseznamem"/>
        <w:numPr>
          <w:ilvl w:val="1"/>
          <w:numId w:val="27"/>
        </w:numPr>
        <w:rPr>
          <w:rFonts w:eastAsia="TimesNewRomanPSMT" w:cs="TimesNewRomanPSMT"/>
        </w:rPr>
      </w:pPr>
      <w:r>
        <w:rPr>
          <w:rFonts w:eastAsia="TimesNewRomanPSMT" w:cs="TimesNewRomanPSMT"/>
        </w:rPr>
        <w:t>Terénní služby (zejména pečovatelské).</w:t>
      </w:r>
    </w:p>
    <w:p w:rsidR="005E605E" w:rsidRPr="005E605E" w:rsidRDefault="005E605E" w:rsidP="00A60AC9">
      <w:pPr>
        <w:pStyle w:val="Odstavecseseznamem"/>
        <w:numPr>
          <w:ilvl w:val="1"/>
          <w:numId w:val="27"/>
        </w:numPr>
        <w:rPr>
          <w:rFonts w:eastAsia="TimesNewRomanPSMT" w:cs="TimesNewRomanPSMT"/>
        </w:rPr>
      </w:pPr>
      <w:r>
        <w:rPr>
          <w:rFonts w:eastAsia="TimesNewRomanPSMT" w:cs="TimesNewRomanPSMT"/>
        </w:rPr>
        <w:t>Výše zmíněné navýšení kapacit zařízení ubytovacích služeb pro seniory výstavbou.</w:t>
      </w:r>
    </w:p>
    <w:p w:rsidR="005E605E" w:rsidRDefault="005E605E" w:rsidP="00A60AC9">
      <w:pPr>
        <w:pStyle w:val="Odstavecseseznamem"/>
        <w:numPr>
          <w:ilvl w:val="1"/>
          <w:numId w:val="27"/>
        </w:numPr>
        <w:rPr>
          <w:rFonts w:eastAsia="TimesNewRomanPSMT" w:cs="TimesNewRomanPSMT"/>
        </w:rPr>
      </w:pPr>
      <w:r>
        <w:rPr>
          <w:rFonts w:eastAsia="TimesNewRomanPSMT" w:cs="TimesNewRomanPSMT"/>
        </w:rPr>
        <w:t>Udržení hromadné dopravy osob a zajištění individuální dopravy osob („seniordoprava“).</w:t>
      </w:r>
    </w:p>
    <w:p w:rsidR="00E7093A" w:rsidRDefault="00E7093A" w:rsidP="00E7093A">
      <w:pPr>
        <w:ind w:firstLine="708"/>
        <w:rPr>
          <w:rFonts w:eastAsia="TimesNewRomanPSMT" w:cs="TimesNewRomanPSMT"/>
        </w:rPr>
      </w:pPr>
      <w:r>
        <w:rPr>
          <w:rFonts w:eastAsia="TimesNewRomanPSMT" w:cs="TimesNewRomanPSMT"/>
        </w:rPr>
        <w:t>Všechna tato patření jsou podmíněna získáním dotačních prostředků.</w:t>
      </w:r>
    </w:p>
    <w:p w:rsidR="00E7093A" w:rsidRDefault="00E7093A" w:rsidP="00A60AC9">
      <w:pPr>
        <w:pStyle w:val="Odstavecseseznamem"/>
        <w:numPr>
          <w:ilvl w:val="0"/>
          <w:numId w:val="27"/>
        </w:numPr>
        <w:rPr>
          <w:rFonts w:eastAsia="TimesNewRomanPSMT" w:cs="TimesNewRomanPSMT"/>
        </w:rPr>
      </w:pPr>
      <w:r>
        <w:rPr>
          <w:rFonts w:eastAsia="TimesNewRomanPSMT" w:cs="TimesNewRomanPSMT"/>
        </w:rPr>
        <w:t>Sociální vyloučení z ekonomických důvodů je nemilým trendem posledních let. Jedinci i celé rodiny</w:t>
      </w:r>
      <w:r w:rsidR="00E32E36">
        <w:rPr>
          <w:rFonts w:eastAsia="TimesNewRomanPSMT" w:cs="TimesNewRomanPSMT"/>
        </w:rPr>
        <w:t xml:space="preserve"> </w:t>
      </w:r>
      <w:r>
        <w:rPr>
          <w:rFonts w:eastAsia="TimesNewRomanPSMT" w:cs="TimesNewRomanPSMT"/>
        </w:rPr>
        <w:t>jsou tak vyloučeny ze společnosti i konzumace některých druhů zboží a služeb.</w:t>
      </w:r>
    </w:p>
    <w:p w:rsidR="00E7093A" w:rsidRDefault="00E7093A" w:rsidP="00A60AC9">
      <w:pPr>
        <w:pStyle w:val="Odstavecseseznamem"/>
        <w:numPr>
          <w:ilvl w:val="1"/>
          <w:numId w:val="27"/>
        </w:numPr>
        <w:rPr>
          <w:rFonts w:eastAsia="TimesNewRomanPSMT" w:cs="TimesNewRomanPSMT"/>
        </w:rPr>
      </w:pPr>
      <w:r>
        <w:rPr>
          <w:rFonts w:eastAsia="TimesNewRomanPSMT" w:cs="TimesNewRomanPSMT"/>
        </w:rPr>
        <w:t xml:space="preserve">K eliminaci těchto jevů by mohly přispět vzdělávací a výchovné aktivity pro děti i dospělé, a to v oblasti finanční gramotnosti, </w:t>
      </w:r>
      <w:r w:rsidR="00D4716F">
        <w:rPr>
          <w:rFonts w:eastAsia="TimesNewRomanPSMT" w:cs="TimesNewRomanPSMT"/>
        </w:rPr>
        <w:t xml:space="preserve">základní právní gramotnosti, tržní gramotnosti, rezistence proti nekalým praktikám na trhu i v oblasti řešení už vzniklých problémových životních situacích občanů. Rovněž by v tomto směru byla přínosem osoba pracující v těchto směrech jako regionální poradce sdílená (časově i finančně) všemi obcemi regionu a nemotivovaná </w:t>
      </w:r>
      <w:r w:rsidR="00D4716F">
        <w:rPr>
          <w:rFonts w:eastAsia="TimesNewRomanPSMT" w:cs="TimesNewRomanPSMT"/>
        </w:rPr>
        <w:lastRenderedPageBreak/>
        <w:t>výkonem (počtem uzavřených smluv) jako poradci privátních společností. K tomuto účelu by byly případně využitelné i dotační prostředky.</w:t>
      </w:r>
    </w:p>
    <w:p w:rsidR="00D4716F" w:rsidRPr="00D4716F" w:rsidRDefault="00FC7402" w:rsidP="00A60AC9">
      <w:pPr>
        <w:pStyle w:val="Odstavecseseznamem"/>
        <w:numPr>
          <w:ilvl w:val="0"/>
          <w:numId w:val="27"/>
        </w:numPr>
        <w:rPr>
          <w:rFonts w:eastAsia="TimesNewRomanPSMT" w:cs="TimesNewRomanPSMT"/>
        </w:rPr>
      </w:pPr>
      <w:r>
        <w:rPr>
          <w:rFonts w:eastAsia="TimesNewRomanPSMT" w:cs="TimesNewRomanPSMT"/>
        </w:rPr>
        <w:t>Nedostatek pracovních příležitostí pro osoby znevýhodněné na trhu páce by byl řešitelný rozvojem sociálního podnikání, avšak toto je podmíněno zájmem regionálních aktérů o tento typ podnikání. Případná podpora dotačními prostředky by byla motivujícím prvkem.</w:t>
      </w:r>
    </w:p>
    <w:p w:rsidR="00C970C2" w:rsidRDefault="00C970C2" w:rsidP="00C970C2">
      <w:pPr>
        <w:pStyle w:val="Nadpis4"/>
      </w:pPr>
      <w:r>
        <w:t>Kulturní památky</w:t>
      </w:r>
    </w:p>
    <w:p w:rsidR="003D1ED0" w:rsidRDefault="003D1ED0" w:rsidP="003D1ED0">
      <w:r>
        <w:t>Pro potřeby tohoto dokumentu jsou kulturními památkami objekty vytvoření člověkem na území, které mají historickou, architektonickou nebo jinou obecně uznávanou hodnotu (by</w:t>
      </w:r>
      <w:r w:rsidR="00C648FF">
        <w:t xml:space="preserve">ť </w:t>
      </w:r>
      <w:r>
        <w:t xml:space="preserve">lokálního významu). </w:t>
      </w:r>
    </w:p>
    <w:p w:rsidR="003D1ED0" w:rsidRDefault="003D1ED0" w:rsidP="003D1ED0">
      <w:r>
        <w:t>Dominantou mezi kulturními památkami regionu je zámek Litomyšl, který je zařazen na seznamu UNESCO. Kromě zámku je turisticky atraktivní také jeho nejbližší okolí z</w:t>
      </w:r>
      <w:r w:rsidR="00256BB3">
        <w:t>ahrnující sakrální stavby, klášterní zahrady, ale také náměstí.</w:t>
      </w:r>
    </w:p>
    <w:p w:rsidR="00256BB3" w:rsidRDefault="00256BB3" w:rsidP="003D1ED0">
      <w:r>
        <w:t>Kromě Litomyšle je kulturně a historicky významný také Rokokový zámek Nové Hrady, který je důležitý zejména svou jedinečnou architekturou. Zámek je obklopený celou řadou souvisejících objektů rovněž historického významu.</w:t>
      </w:r>
    </w:p>
    <w:p w:rsidR="00256BB3" w:rsidRDefault="00C51620" w:rsidP="003D1ED0">
      <w:r>
        <w:t xml:space="preserve">Celou řadou kulturních památek se může pochlubit také </w:t>
      </w:r>
      <w:r w:rsidR="00256BB3">
        <w:t>Vysoké Mýto</w:t>
      </w:r>
      <w:r>
        <w:t>. K nevýznamnějším objektům ve městě určitě patří monumentální městské opevnění , morový sloup na náměstí a celá řada architektonických skvostů v podobě měšťanských domů.</w:t>
      </w:r>
    </w:p>
    <w:p w:rsidR="00C51620" w:rsidRDefault="00C51620" w:rsidP="00C970C2">
      <w:r>
        <w:t xml:space="preserve">Protože není cílem tohoto dokumentu kompletní zmapování kulturních památek v regionu, omezují se zmínky na některé nejznámější a turisticky nejvyhledávanější. Jejich potenciálu pak lze využít k přilákání pozornosti také k dalším kulturním památkám v okolních obcích, které často svou hodnotou převyšují svou popularitu z pohledu cestovního ruchu. </w:t>
      </w:r>
      <w:r w:rsidR="003674F7">
        <w:t>Tato část tedy upozorňuje spíše na význam některých památek a upozorňuje na význam a potenciál těch ostatních.</w:t>
      </w:r>
    </w:p>
    <w:p w:rsidR="00C51620" w:rsidRDefault="00C51620" w:rsidP="00C970C2">
      <w:r>
        <w:t>V malých obcích jde zejména o sakrální stavby a objekty,</w:t>
      </w:r>
      <w:r w:rsidR="00782B24">
        <w:t xml:space="preserve"> pomníky,</w:t>
      </w:r>
      <w:r>
        <w:t xml:space="preserve"> hřbitovy, historicky významná místa a objekty lidové architektury.</w:t>
      </w:r>
    </w:p>
    <w:p w:rsidR="00381F80" w:rsidRDefault="00782B24" w:rsidP="00C970C2">
      <w:r>
        <w:lastRenderedPageBreak/>
        <w:t>Z pohledu aktérů v regionu je o památky relativně dobře postaráno. Občané hodnotí udržovanost památek jako nevyhovující v 8 % případů. Zástupci obcí jsou v tomto poněkud kritičtější</w:t>
      </w:r>
      <w:r w:rsidR="00381F80">
        <w:t xml:space="preserve"> a negativně nebo spíše negativně hodnotí udržovanost památek v 17 % odpovědí.</w:t>
      </w:r>
    </w:p>
    <w:p w:rsidR="00C970C2" w:rsidRDefault="00C970C2" w:rsidP="00C970C2">
      <w:r w:rsidRPr="00C27817">
        <w:rPr>
          <w:noProof/>
          <w:lang w:eastAsia="cs-CZ"/>
        </w:rPr>
        <w:drawing>
          <wp:inline distT="0" distB="0" distL="0" distR="0">
            <wp:extent cx="2828925" cy="1714500"/>
            <wp:effectExtent l="19050" t="0" r="9525" b="0"/>
            <wp:docPr id="93"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072A68">
        <w:rPr>
          <w:noProof/>
          <w:lang w:eastAsia="cs-CZ"/>
        </w:rPr>
        <w:drawing>
          <wp:inline distT="0" distB="0" distL="0" distR="0">
            <wp:extent cx="2847975" cy="1714500"/>
            <wp:effectExtent l="19050" t="0" r="9525" b="0"/>
            <wp:docPr id="94"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D1ED0" w:rsidRDefault="003D1ED0" w:rsidP="00C970C2">
      <w:r>
        <w:t>Závěry dotazníkového šetření (pohled zástupců obcí vlevo, občanů vpravo)</w:t>
      </w:r>
    </w:p>
    <w:p w:rsidR="00381F80" w:rsidRDefault="00381F80" w:rsidP="00C970C2">
      <w:r>
        <w:t>Zástupci obcí také téměř v 58 % případů uvedli investice do kulturních památek jako klíčové pro cestovní ruch. Výše v této oblasti řadili už jen budování cyklostezek, které je prostředkem roz</w:t>
      </w:r>
      <w:r w:rsidR="00476DF1">
        <w:t>šíření turistického ruchu z</w:t>
      </w:r>
      <w:r w:rsidR="00CE421F">
        <w:t xml:space="preserve"> jeho center (Litomyšl, Vysoké Mýto, Nové Hrady) také do širšího okolí, a to zejména právě ke kulturním památkám</w:t>
      </w:r>
      <w:r w:rsidR="00402A5C">
        <w:t xml:space="preserve"> a zajímavým přírodním prvkům</w:t>
      </w:r>
      <w:r w:rsidR="00CE421F">
        <w:t>.</w:t>
      </w:r>
    </w:p>
    <w:p w:rsidR="003674F7" w:rsidRDefault="003674F7" w:rsidP="00C970C2">
      <w:r>
        <w:t>Péče o památky se ve značné míře odvíjí od rozpočtu obcí. Zejména malé obce do 200 obyvatel, kterých je v regionu velké množství</w:t>
      </w:r>
      <w:r w:rsidR="00476DF1">
        <w:t>,</w:t>
      </w:r>
      <w:r>
        <w:t xml:space="preserve"> mají problémy s financováním oprav i se spolufinancováním v případě možnosti čerpání dotační podpory.</w:t>
      </w:r>
    </w:p>
    <w:p w:rsidR="00C970C2" w:rsidRDefault="00C970C2" w:rsidP="00C970C2">
      <w:pPr>
        <w:pStyle w:val="Nadpis5"/>
      </w:pPr>
      <w:r>
        <w:t>Shrnutí informací o kulturních památkách</w:t>
      </w:r>
    </w:p>
    <w:tbl>
      <w:tblPr>
        <w:tblStyle w:val="Mkatabulky"/>
        <w:tblW w:w="0" w:type="auto"/>
        <w:tblLook w:val="04A0"/>
      </w:tblPr>
      <w:tblGrid>
        <w:gridCol w:w="4606"/>
        <w:gridCol w:w="4606"/>
      </w:tblGrid>
      <w:tr w:rsidR="00C970C2" w:rsidTr="002D6B2C">
        <w:trPr>
          <w:cantSplit/>
        </w:trPr>
        <w:tc>
          <w:tcPr>
            <w:tcW w:w="4606" w:type="dxa"/>
            <w:shd w:val="clear" w:color="auto" w:fill="D6E3BC" w:themeFill="accent3" w:themeFillTint="66"/>
          </w:tcPr>
          <w:p w:rsidR="00C970C2" w:rsidRPr="000F7E1C" w:rsidRDefault="00C970C2" w:rsidP="002D6B2C">
            <w:pPr>
              <w:rPr>
                <w:b/>
              </w:rPr>
            </w:pPr>
            <w:r w:rsidRPr="000F7E1C">
              <w:rPr>
                <w:b/>
              </w:rPr>
              <w:t>S „Silné stránky“</w:t>
            </w:r>
          </w:p>
        </w:tc>
        <w:tc>
          <w:tcPr>
            <w:tcW w:w="4606" w:type="dxa"/>
            <w:shd w:val="clear" w:color="auto" w:fill="FBD4B4" w:themeFill="accent6" w:themeFillTint="66"/>
          </w:tcPr>
          <w:p w:rsidR="00C970C2" w:rsidRPr="000F7E1C" w:rsidRDefault="00C970C2" w:rsidP="002D6B2C">
            <w:pPr>
              <w:rPr>
                <w:b/>
              </w:rPr>
            </w:pPr>
            <w:r w:rsidRPr="000F7E1C">
              <w:rPr>
                <w:b/>
              </w:rPr>
              <w:t>W „Slabé stránky“</w:t>
            </w:r>
          </w:p>
        </w:tc>
      </w:tr>
      <w:tr w:rsidR="00C970C2" w:rsidTr="002D6B2C">
        <w:trPr>
          <w:cantSplit/>
          <w:trHeight w:val="2309"/>
        </w:trPr>
        <w:tc>
          <w:tcPr>
            <w:tcW w:w="4606" w:type="dxa"/>
            <w:shd w:val="clear" w:color="auto" w:fill="EAF1DD" w:themeFill="accent3" w:themeFillTint="33"/>
          </w:tcPr>
          <w:p w:rsidR="00381F80" w:rsidRDefault="00381F80" w:rsidP="00A60AC9">
            <w:pPr>
              <w:pStyle w:val="Odstavecseseznamem"/>
              <w:numPr>
                <w:ilvl w:val="0"/>
                <w:numId w:val="26"/>
              </w:numPr>
            </w:pPr>
            <w:r>
              <w:t>Množství památek s vysokou hodnotou.</w:t>
            </w:r>
          </w:p>
          <w:p w:rsidR="003674F7" w:rsidRDefault="003674F7" w:rsidP="00A60AC9">
            <w:pPr>
              <w:pStyle w:val="Odstavecseseznamem"/>
              <w:numPr>
                <w:ilvl w:val="0"/>
                <w:numId w:val="26"/>
              </w:numPr>
            </w:pPr>
            <w:r>
              <w:t>Často komunitní péče o památky (spolupráce obce, obyvatel i subjektů v obci).</w:t>
            </w:r>
          </w:p>
          <w:p w:rsidR="00C970C2" w:rsidRDefault="00C970C2" w:rsidP="002D6B2C"/>
        </w:tc>
        <w:tc>
          <w:tcPr>
            <w:tcW w:w="4606" w:type="dxa"/>
            <w:shd w:val="clear" w:color="auto" w:fill="FDE9D9" w:themeFill="accent6" w:themeFillTint="33"/>
          </w:tcPr>
          <w:p w:rsidR="00C970C2" w:rsidRDefault="00CE421F" w:rsidP="00A60AC9">
            <w:pPr>
              <w:pStyle w:val="Odstavecseseznamem"/>
              <w:numPr>
                <w:ilvl w:val="0"/>
                <w:numId w:val="25"/>
              </w:numPr>
            </w:pPr>
            <w:r>
              <w:t>Vysoké náklady udržování památek.</w:t>
            </w:r>
          </w:p>
          <w:p w:rsidR="003674F7" w:rsidRDefault="00CF572F" w:rsidP="00A60AC9">
            <w:pPr>
              <w:pStyle w:val="Odstavecseseznamem"/>
              <w:numPr>
                <w:ilvl w:val="0"/>
                <w:numId w:val="25"/>
              </w:numPr>
            </w:pPr>
            <w:r>
              <w:t>Mimo Litomyšl n</w:t>
            </w:r>
            <w:r w:rsidR="003674F7">
              <w:t>edostatečná</w:t>
            </w:r>
            <w:r>
              <w:t xml:space="preserve"> nebo nevhodná</w:t>
            </w:r>
            <w:r w:rsidR="003674F7">
              <w:t xml:space="preserve"> propagace, pro turisty obtížná lokalizace a obtížné rozpoznání významu (pro laiky).</w:t>
            </w:r>
          </w:p>
        </w:tc>
      </w:tr>
      <w:tr w:rsidR="00C970C2" w:rsidTr="002D6B2C">
        <w:trPr>
          <w:cantSplit/>
        </w:trPr>
        <w:tc>
          <w:tcPr>
            <w:tcW w:w="4606" w:type="dxa"/>
            <w:shd w:val="clear" w:color="auto" w:fill="B8CCE4" w:themeFill="accent1" w:themeFillTint="66"/>
          </w:tcPr>
          <w:p w:rsidR="00C970C2" w:rsidRPr="000F7E1C" w:rsidRDefault="00C970C2" w:rsidP="002D6B2C">
            <w:pPr>
              <w:rPr>
                <w:b/>
              </w:rPr>
            </w:pPr>
            <w:r w:rsidRPr="000F7E1C">
              <w:rPr>
                <w:b/>
              </w:rPr>
              <w:t>O „Příležitosti“</w:t>
            </w:r>
          </w:p>
        </w:tc>
        <w:tc>
          <w:tcPr>
            <w:tcW w:w="4606" w:type="dxa"/>
            <w:shd w:val="clear" w:color="auto" w:fill="E5B8B7" w:themeFill="accent2" w:themeFillTint="66"/>
          </w:tcPr>
          <w:p w:rsidR="00C970C2" w:rsidRPr="000F7E1C" w:rsidRDefault="00C970C2" w:rsidP="002D6B2C">
            <w:pPr>
              <w:rPr>
                <w:b/>
              </w:rPr>
            </w:pPr>
            <w:r w:rsidRPr="000F7E1C">
              <w:rPr>
                <w:b/>
              </w:rPr>
              <w:t>T „Hrozby“</w:t>
            </w:r>
          </w:p>
        </w:tc>
      </w:tr>
      <w:tr w:rsidR="00C970C2" w:rsidTr="002D6B2C">
        <w:trPr>
          <w:cantSplit/>
          <w:trHeight w:val="2829"/>
        </w:trPr>
        <w:tc>
          <w:tcPr>
            <w:tcW w:w="4606" w:type="dxa"/>
            <w:shd w:val="clear" w:color="auto" w:fill="DBE5F1" w:themeFill="accent1" w:themeFillTint="33"/>
          </w:tcPr>
          <w:p w:rsidR="00C970C2" w:rsidRDefault="003674F7" w:rsidP="00A60AC9">
            <w:pPr>
              <w:pStyle w:val="Odstavecseseznamem"/>
              <w:numPr>
                <w:ilvl w:val="0"/>
                <w:numId w:val="27"/>
              </w:numPr>
            </w:pPr>
            <w:r>
              <w:lastRenderedPageBreak/>
              <w:t>Propagace památek a budování cyklostezek a naučných stezek.</w:t>
            </w:r>
          </w:p>
          <w:p w:rsidR="00D07397" w:rsidRDefault="00D07397" w:rsidP="00A60AC9">
            <w:pPr>
              <w:pStyle w:val="Odstavecseseznamem"/>
              <w:numPr>
                <w:ilvl w:val="0"/>
                <w:numId w:val="27"/>
              </w:numPr>
            </w:pPr>
            <w:r>
              <w:t>Využití přínosů z cestovního ruchu i pro jiné subjekty (v přiměřené míře).</w:t>
            </w:r>
          </w:p>
          <w:p w:rsidR="00D07397" w:rsidRDefault="00D07397" w:rsidP="00D07397"/>
        </w:tc>
        <w:tc>
          <w:tcPr>
            <w:tcW w:w="4606" w:type="dxa"/>
            <w:shd w:val="clear" w:color="auto" w:fill="F2DBDB" w:themeFill="accent2" w:themeFillTint="33"/>
          </w:tcPr>
          <w:p w:rsidR="00C970C2" w:rsidRDefault="0078349B" w:rsidP="00A60AC9">
            <w:pPr>
              <w:pStyle w:val="Odstavecseseznamem"/>
              <w:numPr>
                <w:ilvl w:val="0"/>
                <w:numId w:val="27"/>
              </w:numPr>
            </w:pPr>
            <w:r>
              <w:t>Obtížné financování a spolufinancování oprav zejména v malých obcích.</w:t>
            </w:r>
          </w:p>
        </w:tc>
      </w:tr>
    </w:tbl>
    <w:p w:rsidR="00160EA9" w:rsidRDefault="00160EA9" w:rsidP="00C412A1"/>
    <w:p w:rsidR="003D1ED0" w:rsidRDefault="00D07397" w:rsidP="00A60AC9">
      <w:pPr>
        <w:pStyle w:val="Odstavecseseznamem"/>
        <w:numPr>
          <w:ilvl w:val="0"/>
          <w:numId w:val="27"/>
        </w:numPr>
      </w:pPr>
      <w:r>
        <w:t>Finanční stránka péče o památky:</w:t>
      </w:r>
    </w:p>
    <w:p w:rsidR="00D07397" w:rsidRDefault="00D07397" w:rsidP="00A60AC9">
      <w:pPr>
        <w:pStyle w:val="Odstavecseseznamem"/>
        <w:numPr>
          <w:ilvl w:val="1"/>
          <w:numId w:val="27"/>
        </w:numPr>
      </w:pPr>
      <w:r>
        <w:t>Vyhledávání vhodných dotačních titulů.</w:t>
      </w:r>
    </w:p>
    <w:p w:rsidR="00D07397" w:rsidRDefault="00D07397" w:rsidP="00A60AC9">
      <w:pPr>
        <w:pStyle w:val="Odstavecseseznamem"/>
        <w:numPr>
          <w:ilvl w:val="1"/>
          <w:numId w:val="27"/>
        </w:numPr>
      </w:pPr>
      <w:r>
        <w:t>Vyhledávání jiných zdrojů financování jako je sponzoring nebo využití příjmů z cestovního ruchu. Nelze předpokládat markantní a náhlé zvýšení cestovního ruchu v menších obcích disponujících kulturními památkami, ale při zvýšení turistického zájmu by byl</w:t>
      </w:r>
      <w:r w:rsidR="008C050F">
        <w:t>o možné například rozšířen</w:t>
      </w:r>
      <w:r>
        <w:t>í</w:t>
      </w:r>
      <w:r w:rsidR="008C050F">
        <w:t xml:space="preserve"> </w:t>
      </w:r>
      <w:r>
        <w:t xml:space="preserve">služeb již fungujících subjektů (např. prodloužení otevírací doby již existujících restaurací, </w:t>
      </w:r>
      <w:r w:rsidR="008C050F">
        <w:t>poskytování výkladů zaměstnanci farních úřadů nebo obce, zřízení informačních center na obecních úřadech, kde působí zaměstnanci nebo posun jejich pracovní doby...</w:t>
      </w:r>
      <w:r>
        <w:t>).</w:t>
      </w:r>
    </w:p>
    <w:p w:rsidR="008C050F" w:rsidRDefault="008C050F" w:rsidP="008C050F">
      <w:pPr>
        <w:pStyle w:val="Odstavecseseznamem"/>
        <w:ind w:left="1440"/>
      </w:pPr>
      <w:r>
        <w:t>Základem k výše uvedenému potenciálu jsou předcházející investice do propagace kulturních památek a investice do infrastruktury v podobě naučných stezek, cyklostezek, apod.</w:t>
      </w:r>
    </w:p>
    <w:p w:rsidR="00D07397" w:rsidRPr="00D07397" w:rsidRDefault="00D07397" w:rsidP="00A60AC9">
      <w:pPr>
        <w:pStyle w:val="Odstavecseseznamem"/>
        <w:numPr>
          <w:ilvl w:val="1"/>
          <w:numId w:val="27"/>
        </w:numPr>
      </w:pPr>
      <w:r>
        <w:t>Využití komunitního zájmu k méně náročným opravám</w:t>
      </w:r>
      <w:r w:rsidR="008C050F">
        <w:t>. Zejména v menších obcích existuje velká sounáležitost a je možné zapojení obyvatel a subjektů za společným zájmem. Limity v údržbě památek ovšem existují, a to zejména z důvodu zachování památkové hodnoty.</w:t>
      </w:r>
    </w:p>
    <w:p w:rsidR="00120802" w:rsidRDefault="00120802" w:rsidP="009F4D7F">
      <w:pPr>
        <w:pStyle w:val="Nadpis3"/>
      </w:pPr>
      <w:bookmarkStart w:id="28" w:name="_Toc430006502"/>
      <w:r>
        <w:t>Podnikání, výroba, zaměstnanost</w:t>
      </w:r>
      <w:bookmarkEnd w:id="28"/>
    </w:p>
    <w:p w:rsidR="00EF093B" w:rsidRDefault="00EF093B" w:rsidP="000922FE">
      <w:r>
        <w:t xml:space="preserve">Ekonomické aktivity na území </w:t>
      </w:r>
      <w:r w:rsidRPr="009333FD">
        <w:t>MAS se</w:t>
      </w:r>
      <w:r>
        <w:t xml:space="preserve"> liší především v závislosti na velikosti města/obce a také na existenci historicky důležitých ekonomických subjektů.</w:t>
      </w:r>
      <w:r w:rsidR="00CE01B2">
        <w:t xml:space="preserve"> Obecně </w:t>
      </w:r>
      <w:r w:rsidR="00014173">
        <w:t>l</w:t>
      </w:r>
      <w:r w:rsidR="00CE01B2">
        <w:t xml:space="preserve">ze říci, že zaměstnanost regionu je závislá především na průmyslu a zemědělství, přičemž tyto obory </w:t>
      </w:r>
      <w:r w:rsidR="00CE01B2">
        <w:lastRenderedPageBreak/>
        <w:t>se vzájemně doplňují. V oblastech se silným průmyslem lpí menší váha na zemědělství a naopak.</w:t>
      </w:r>
    </w:p>
    <w:p w:rsidR="006A0978" w:rsidRDefault="006A0978" w:rsidP="000922FE">
      <w:r>
        <w:t>C</w:t>
      </w:r>
      <w:r w:rsidR="008F5FDD">
        <w:t>harakter ekonomických aktivit v obcích mimo tři</w:t>
      </w:r>
      <w:r>
        <w:t xml:space="preserve"> měst</w:t>
      </w:r>
      <w:r w:rsidR="008F5FDD">
        <w:t>a</w:t>
      </w:r>
      <w:r w:rsidR="00195518">
        <w:t xml:space="preserve"> regionu</w:t>
      </w:r>
      <w:r w:rsidR="008F5FDD">
        <w:t xml:space="preserve"> je silně zemědělský, což poukazuje na skutečnost, že zemědělské společnosti a soukromí zemědělci jsou v těchto obcích hlavními zaměstnavateli. Průměrně v regionu </w:t>
      </w:r>
      <w:r w:rsidR="004551E2">
        <w:t xml:space="preserve">pracuje v zemědělství a přidružených oborech 13,3 % zaměstnaných osob, přičemž v některých obcích </w:t>
      </w:r>
      <w:r w:rsidR="00195518">
        <w:t>přesahuje závislost na těchto oborech 30 %. V 18 obcích z 54 přesahuje poměr zaměstnaných v těchto oborech 15 %.</w:t>
      </w:r>
    </w:p>
    <w:p w:rsidR="00EF093B" w:rsidRDefault="00BE6697" w:rsidP="000922FE">
      <w:r>
        <w:t xml:space="preserve">Naopak průmysl a některé typy obchodu a služeb mají svá centra právě ve městech regionu. Průmyslové podniky zaměstnávají více než 30 % obyvatel regionu. Centra průmyslu jsou Ve Vysokém Mýtě (převážně automobilový průmysl), Litomyšl (skelné textilie pro stavebnictví, zemědělská technika...) a Proseč (dřevovýroba, obuvnický průmysl...). Tato centra představují centra zaměstnanosti pro okolní obce a zejména automobilová výroba ve Vysokém Mýtě pak generuje další síť subdodavatelských firem v okolí. V regionu se nacházejí obce, jejichž zaměstnanecká závislost na průmyslu se blíží 50 %. Stále přibližně platí, že </w:t>
      </w:r>
      <w:r w:rsidR="007D4FF7">
        <w:t>v oblastech s vysokým podílem zaměstnaných v průmyslu zpravidla je nižší podíl zaměstnaných v zemědělských oborech.</w:t>
      </w:r>
    </w:p>
    <w:p w:rsidR="007D4FF7" w:rsidRDefault="007D4FF7" w:rsidP="000922FE">
      <w:r>
        <w:t>Dalšími důležitými zdroji zaměstnanosti jsou stavebnictví (8,9 % zaměstnaných) a obchod a údržba motorových vozidel (8,7 % zaměstnaných). Dále již z hlediska významu pro zaměstnanost v regionu přicházejí na řadu veřejné služby, kde ve vzdělávání pracuje 5,3 % zaměstnaných a ve zdravotnictví 5,2 % zaměstnaných.</w:t>
      </w:r>
      <w:r w:rsidR="009A1209">
        <w:rPr>
          <w:rStyle w:val="Znakapoznpodarou"/>
        </w:rPr>
        <w:footnoteReference w:id="33"/>
      </w:r>
    </w:p>
    <w:p w:rsidR="007D4FF7" w:rsidRDefault="004E18E6" w:rsidP="000922FE">
      <w:r w:rsidRPr="004E18E6">
        <w:rPr>
          <w:noProof/>
          <w:lang w:eastAsia="cs-CZ"/>
        </w:rPr>
        <w:lastRenderedPageBreak/>
        <w:drawing>
          <wp:inline distT="0" distB="0" distL="0" distR="0">
            <wp:extent cx="5581650" cy="2524125"/>
            <wp:effectExtent l="19050" t="0" r="0" b="0"/>
            <wp:docPr id="1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581650" cy="2524125"/>
                    </a:xfrm>
                    <a:prstGeom prst="rect">
                      <a:avLst/>
                    </a:prstGeom>
                    <a:noFill/>
                    <a:ln w="9525">
                      <a:noFill/>
                      <a:miter lim="800000"/>
                      <a:headEnd/>
                      <a:tailEnd/>
                    </a:ln>
                  </pic:spPr>
                </pic:pic>
              </a:graphicData>
            </a:graphic>
          </wp:inline>
        </w:drawing>
      </w:r>
    </w:p>
    <w:p w:rsidR="004E18E6" w:rsidRDefault="004E18E6" w:rsidP="000922FE">
      <w:r>
        <w:t>Zdroj: ČSÚ, SLDB 2011</w:t>
      </w:r>
    </w:p>
    <w:p w:rsidR="00593653" w:rsidRDefault="00DE143A" w:rsidP="00DE143A">
      <w:pPr>
        <w:pStyle w:val="Nadpis4"/>
      </w:pPr>
      <w:r>
        <w:t>Hlavní zaměstnavatelé regionu</w:t>
      </w:r>
    </w:p>
    <w:p w:rsidR="00593653" w:rsidRDefault="00593653" w:rsidP="00A60AC9">
      <w:pPr>
        <w:pStyle w:val="Odstavecseseznamem"/>
        <w:numPr>
          <w:ilvl w:val="0"/>
          <w:numId w:val="8"/>
        </w:numPr>
      </w:pPr>
      <w:r>
        <w:t>Okres Svitavy</w:t>
      </w:r>
    </w:p>
    <w:p w:rsidR="00660100" w:rsidRDefault="00660100" w:rsidP="00A60AC9">
      <w:pPr>
        <w:pStyle w:val="Analzatext"/>
        <w:numPr>
          <w:ilvl w:val="1"/>
          <w:numId w:val="8"/>
        </w:numPr>
        <w:spacing w:after="0"/>
        <w:rPr>
          <w:color w:val="000000"/>
          <w:lang w:eastAsia="cs-CZ"/>
        </w:rPr>
      </w:pPr>
      <w:r>
        <w:rPr>
          <w:color w:val="000000"/>
          <w:lang w:eastAsia="cs-CZ"/>
        </w:rPr>
        <w:t xml:space="preserve">SAINT-GOBAIN ADFORS CZ s.r.o. (výroba skleněných vláken pro průmysl) </w:t>
      </w:r>
    </w:p>
    <w:p w:rsidR="00660100" w:rsidRDefault="00660100" w:rsidP="00A60AC9">
      <w:pPr>
        <w:pStyle w:val="Analzatext"/>
        <w:numPr>
          <w:ilvl w:val="1"/>
          <w:numId w:val="8"/>
        </w:numPr>
        <w:spacing w:after="0"/>
        <w:rPr>
          <w:color w:val="000000"/>
          <w:lang w:eastAsia="cs-CZ"/>
        </w:rPr>
      </w:pPr>
      <w:r>
        <w:rPr>
          <w:color w:val="000000"/>
          <w:lang w:eastAsia="cs-CZ"/>
        </w:rPr>
        <w:t>Litomyšlská nemocnice, a.s.</w:t>
      </w:r>
    </w:p>
    <w:p w:rsidR="00660100" w:rsidRDefault="00660100" w:rsidP="00A60AC9">
      <w:pPr>
        <w:pStyle w:val="Analzatext"/>
        <w:numPr>
          <w:ilvl w:val="1"/>
          <w:numId w:val="8"/>
        </w:numPr>
        <w:spacing w:after="0"/>
        <w:rPr>
          <w:color w:val="000000"/>
          <w:lang w:eastAsia="cs-CZ"/>
        </w:rPr>
      </w:pPr>
      <w:r>
        <w:rPr>
          <w:color w:val="000000"/>
          <w:lang w:eastAsia="cs-CZ"/>
        </w:rPr>
        <w:t>Zemědělské družstvo Dolní Újezd (rostlinná a živočišná výroba)</w:t>
      </w:r>
    </w:p>
    <w:p w:rsidR="00660100" w:rsidRPr="00660100" w:rsidRDefault="00660100" w:rsidP="00A60AC9">
      <w:pPr>
        <w:pStyle w:val="Analzatext"/>
        <w:numPr>
          <w:ilvl w:val="1"/>
          <w:numId w:val="8"/>
        </w:numPr>
        <w:rPr>
          <w:color w:val="000000"/>
          <w:u w:val="single"/>
          <w:lang w:eastAsia="cs-CZ"/>
        </w:rPr>
      </w:pPr>
      <w:r>
        <w:rPr>
          <w:color w:val="000000"/>
          <w:lang w:eastAsia="cs-CZ"/>
        </w:rPr>
        <w:t>MACH DRŮBEŽ a.s. (chov drůbeže)</w:t>
      </w:r>
    </w:p>
    <w:p w:rsidR="00593653" w:rsidRDefault="00593653" w:rsidP="00A60AC9">
      <w:pPr>
        <w:pStyle w:val="Odstavecseseznamem"/>
        <w:numPr>
          <w:ilvl w:val="0"/>
          <w:numId w:val="8"/>
        </w:numPr>
      </w:pPr>
      <w:r>
        <w:t>Okres Chrudim</w:t>
      </w:r>
    </w:p>
    <w:p w:rsidR="00660100" w:rsidRDefault="00660100" w:rsidP="00A60AC9">
      <w:pPr>
        <w:pStyle w:val="Analzatext"/>
        <w:numPr>
          <w:ilvl w:val="1"/>
          <w:numId w:val="8"/>
        </w:numPr>
        <w:spacing w:after="0"/>
        <w:rPr>
          <w:color w:val="000000"/>
          <w:lang w:eastAsia="cs-CZ"/>
        </w:rPr>
      </w:pPr>
      <w:r>
        <w:rPr>
          <w:color w:val="000000"/>
          <w:lang w:eastAsia="cs-CZ"/>
        </w:rPr>
        <w:t>DIPRO, výrobní družstvo invalidů (dřevovýroba, kartonážní výroba)</w:t>
      </w:r>
    </w:p>
    <w:p w:rsidR="00660100" w:rsidRDefault="00660100" w:rsidP="00A60AC9">
      <w:pPr>
        <w:pStyle w:val="Analzatext"/>
        <w:numPr>
          <w:ilvl w:val="1"/>
          <w:numId w:val="8"/>
        </w:numPr>
        <w:rPr>
          <w:b/>
          <w:color w:val="000000"/>
          <w:lang w:eastAsia="cs-CZ"/>
        </w:rPr>
      </w:pPr>
      <w:r>
        <w:rPr>
          <w:color w:val="000000"/>
          <w:lang w:eastAsia="cs-CZ"/>
        </w:rPr>
        <w:t>E</w:t>
      </w:r>
      <w:r w:rsidR="00790851">
        <w:rPr>
          <w:color w:val="000000"/>
          <w:lang w:eastAsia="cs-CZ"/>
        </w:rPr>
        <w:t>R</w:t>
      </w:r>
      <w:r>
        <w:rPr>
          <w:color w:val="000000"/>
          <w:lang w:eastAsia="cs-CZ"/>
        </w:rPr>
        <w:t>GOTEP, družstvo invalidů (nájezdové plošiny do automobilů, zvedáky, pomůcky)</w:t>
      </w:r>
    </w:p>
    <w:p w:rsidR="00593653" w:rsidRDefault="00593653" w:rsidP="00A60AC9">
      <w:pPr>
        <w:pStyle w:val="Odstavecseseznamem"/>
        <w:numPr>
          <w:ilvl w:val="0"/>
          <w:numId w:val="8"/>
        </w:numPr>
      </w:pPr>
      <w:r>
        <w:t>Okres Ústí nad Orlicí</w:t>
      </w:r>
    </w:p>
    <w:p w:rsidR="00660100" w:rsidRDefault="00660100" w:rsidP="00A60AC9">
      <w:pPr>
        <w:pStyle w:val="Analzatext"/>
        <w:numPr>
          <w:ilvl w:val="1"/>
          <w:numId w:val="8"/>
        </w:numPr>
        <w:spacing w:after="0"/>
        <w:rPr>
          <w:color w:val="000000"/>
          <w:lang w:eastAsia="cs-CZ"/>
        </w:rPr>
      </w:pPr>
      <w:r>
        <w:rPr>
          <w:color w:val="000000"/>
          <w:lang w:eastAsia="cs-CZ"/>
        </w:rPr>
        <w:t>Iveco Czech Republic, a.s. (výroba autobusů)</w:t>
      </w:r>
    </w:p>
    <w:p w:rsidR="00660100" w:rsidRDefault="00660100" w:rsidP="00A60AC9">
      <w:pPr>
        <w:pStyle w:val="Analzatext"/>
        <w:numPr>
          <w:ilvl w:val="1"/>
          <w:numId w:val="8"/>
        </w:numPr>
        <w:spacing w:after="0"/>
        <w:rPr>
          <w:color w:val="000000"/>
          <w:lang w:eastAsia="cs-CZ"/>
        </w:rPr>
      </w:pPr>
      <w:r>
        <w:rPr>
          <w:color w:val="000000"/>
          <w:lang w:eastAsia="cs-CZ"/>
        </w:rPr>
        <w:t>Autoneum CZ s.r.o. (výroba izolace do osobních a nákladních aut)</w:t>
      </w:r>
    </w:p>
    <w:p w:rsidR="00660100" w:rsidRDefault="00660100" w:rsidP="00A60AC9">
      <w:pPr>
        <w:pStyle w:val="Analzatext"/>
        <w:numPr>
          <w:ilvl w:val="1"/>
          <w:numId w:val="8"/>
        </w:numPr>
        <w:spacing w:after="0"/>
        <w:rPr>
          <w:color w:val="000000"/>
          <w:lang w:eastAsia="cs-CZ"/>
        </w:rPr>
      </w:pPr>
      <w:r>
        <w:rPr>
          <w:color w:val="000000"/>
          <w:lang w:eastAsia="cs-CZ"/>
        </w:rPr>
        <w:t>Zemědělsko obchodní družstvo Zálší</w:t>
      </w:r>
    </w:p>
    <w:p w:rsidR="0045071F" w:rsidRDefault="0045071F" w:rsidP="0045071F">
      <w:pPr>
        <w:pStyle w:val="Analzatext"/>
        <w:rPr>
          <w:color w:val="000000"/>
          <w:lang w:eastAsia="cs-CZ"/>
        </w:rPr>
      </w:pPr>
    </w:p>
    <w:p w:rsidR="00DE143A" w:rsidRDefault="00DE143A" w:rsidP="00DE143A">
      <w:pPr>
        <w:pStyle w:val="Nadpis4"/>
        <w:rPr>
          <w:lang w:eastAsia="cs-CZ"/>
        </w:rPr>
      </w:pPr>
      <w:r>
        <w:rPr>
          <w:lang w:eastAsia="cs-CZ"/>
        </w:rPr>
        <w:t>Podmínky pro podnikání</w:t>
      </w:r>
    </w:p>
    <w:p w:rsidR="0045071F" w:rsidRDefault="008000A8" w:rsidP="0045071F">
      <w:pPr>
        <w:pStyle w:val="Analzatext"/>
        <w:rPr>
          <w:color w:val="000000"/>
          <w:lang w:eastAsia="cs-CZ"/>
        </w:rPr>
      </w:pPr>
      <w:r>
        <w:rPr>
          <w:color w:val="000000"/>
          <w:lang w:eastAsia="cs-CZ"/>
        </w:rPr>
        <w:t>Podmínky pro podnikání v regionu byly z důvodu reálného vnímání zjišťovány dotazníkovým šetřením.</w:t>
      </w:r>
    </w:p>
    <w:p w:rsidR="00DE143A" w:rsidRDefault="00DE143A" w:rsidP="00DE143A">
      <w:pPr>
        <w:pStyle w:val="Nadpis5"/>
        <w:rPr>
          <w:lang w:eastAsia="cs-CZ"/>
        </w:rPr>
      </w:pPr>
      <w:r>
        <w:rPr>
          <w:lang w:eastAsia="cs-CZ"/>
        </w:rPr>
        <w:t>Pracovní síla</w:t>
      </w:r>
    </w:p>
    <w:p w:rsidR="008000A8" w:rsidRDefault="008000A8" w:rsidP="008000A8">
      <w:pPr>
        <w:rPr>
          <w:lang w:eastAsia="cs-CZ"/>
        </w:rPr>
      </w:pPr>
      <w:r>
        <w:rPr>
          <w:lang w:eastAsia="cs-CZ"/>
        </w:rPr>
        <w:t>Mi</w:t>
      </w:r>
      <w:r w:rsidR="00C717AD">
        <w:rPr>
          <w:lang w:eastAsia="cs-CZ"/>
        </w:rPr>
        <w:t xml:space="preserve">mo jiných faktorů </w:t>
      </w:r>
      <w:r>
        <w:rPr>
          <w:lang w:eastAsia="cs-CZ"/>
        </w:rPr>
        <w:t xml:space="preserve">je pro rozvoj podnikání základním </w:t>
      </w:r>
      <w:r w:rsidR="00C717AD">
        <w:rPr>
          <w:lang w:eastAsia="cs-CZ"/>
        </w:rPr>
        <w:t xml:space="preserve">předpokladem dostupnost a vlastnosti pracovní síly. Tyto informace byly zjišťovány od zaměstnavatelů souhrnně, a tedy včetně </w:t>
      </w:r>
      <w:r w:rsidR="00C717AD">
        <w:rPr>
          <w:lang w:eastAsia="cs-CZ"/>
        </w:rPr>
        <w:lastRenderedPageBreak/>
        <w:t>neziskových organizací, sociálních podniků apod. (tedy subjektů zaměstnávajících další osoby).</w:t>
      </w:r>
    </w:p>
    <w:p w:rsidR="00C717AD" w:rsidRDefault="00C717AD" w:rsidP="008000A8">
      <w:pPr>
        <w:rPr>
          <w:lang w:eastAsia="cs-CZ"/>
        </w:rPr>
      </w:pPr>
      <w:r>
        <w:rPr>
          <w:lang w:eastAsia="cs-CZ"/>
        </w:rPr>
        <w:t>Dle dotazníkového šetření hodnotí většina zaměstnavatelů kvalitu pracovní síly jako vyhovující nebo spíše vyhovující</w:t>
      </w:r>
      <w:r w:rsidR="00F9678E">
        <w:rPr>
          <w:lang w:eastAsia="cs-CZ"/>
        </w:rPr>
        <w:t xml:space="preserve"> (viz graf níže vlevo)</w:t>
      </w:r>
      <w:r>
        <w:rPr>
          <w:lang w:eastAsia="cs-CZ"/>
        </w:rPr>
        <w:t>. 24 % zaměstnavatelů ale hodnotí tuto oblast negativně. Kvalitou pracovní síly je zde myšlena široká škála vlastností potenci</w:t>
      </w:r>
      <w:r w:rsidR="006F2EE1">
        <w:rPr>
          <w:lang w:eastAsia="cs-CZ"/>
        </w:rPr>
        <w:t>o</w:t>
      </w:r>
      <w:r>
        <w:rPr>
          <w:lang w:eastAsia="cs-CZ"/>
        </w:rPr>
        <w:t>nálně zaměstnatelných osob, která zahrnuje</w:t>
      </w:r>
      <w:r w:rsidR="006F2EE1">
        <w:rPr>
          <w:lang w:eastAsia="cs-CZ"/>
        </w:rPr>
        <w:t xml:space="preserve"> kromě kvalifikace a zkušeností také charakterové vlastnosti, flexibilita apod.</w:t>
      </w:r>
      <w:r w:rsidR="00F9678E">
        <w:rPr>
          <w:lang w:eastAsia="cs-CZ"/>
        </w:rPr>
        <w:t xml:space="preserve"> Co se týče samotné kvalifikace pracovní síly (viz graf níže vpravo), jsou názory podnikatelů velmi podobné.</w:t>
      </w:r>
    </w:p>
    <w:p w:rsidR="009333FD" w:rsidRPr="009333FD" w:rsidRDefault="009333FD" w:rsidP="008000A8">
      <w:pPr>
        <w:rPr>
          <w:sz w:val="4"/>
          <w:szCs w:val="4"/>
          <w:lang w:eastAsia="cs-CZ"/>
        </w:rPr>
      </w:pPr>
    </w:p>
    <w:p w:rsidR="0045071F" w:rsidRDefault="0045071F" w:rsidP="009333FD">
      <w:pPr>
        <w:pStyle w:val="Analzatext"/>
        <w:spacing w:before="240"/>
        <w:jc w:val="left"/>
        <w:rPr>
          <w:color w:val="000000"/>
          <w:lang w:eastAsia="cs-CZ"/>
        </w:rPr>
      </w:pPr>
      <w:r w:rsidRPr="0045071F">
        <w:rPr>
          <w:noProof/>
          <w:color w:val="000000"/>
          <w:lang w:eastAsia="cs-CZ"/>
        </w:rPr>
        <w:drawing>
          <wp:inline distT="0" distB="0" distL="0" distR="0">
            <wp:extent cx="2828925" cy="2028825"/>
            <wp:effectExtent l="19050" t="0" r="9525" b="0"/>
            <wp:docPr id="1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5071F">
        <w:rPr>
          <w:noProof/>
          <w:color w:val="000000"/>
          <w:lang w:eastAsia="cs-CZ"/>
        </w:rPr>
        <w:drawing>
          <wp:inline distT="0" distB="0" distL="0" distR="0">
            <wp:extent cx="2828925" cy="2028825"/>
            <wp:effectExtent l="19050" t="0" r="9525" b="0"/>
            <wp:docPr id="34"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9678E" w:rsidRDefault="00F9678E" w:rsidP="0045071F">
      <w:pPr>
        <w:pStyle w:val="Analzatext"/>
        <w:rPr>
          <w:color w:val="000000"/>
          <w:lang w:eastAsia="cs-CZ"/>
        </w:rPr>
      </w:pPr>
    </w:p>
    <w:p w:rsidR="00F9678E" w:rsidRPr="00014173" w:rsidRDefault="00F9678E" w:rsidP="00014173">
      <w:pPr>
        <w:rPr>
          <w:lang w:eastAsia="cs-CZ"/>
        </w:rPr>
      </w:pPr>
      <w:r w:rsidRPr="00014173">
        <w:rPr>
          <w:lang w:eastAsia="cs-CZ"/>
        </w:rPr>
        <w:t>Z výsledků dotazníkového šetření vyplývá, že samotná kvalifikace není pro zaměstnavatele nejdůležitější vlastností osoby ucházející se o zaměstnání. Celých 38 % zaměstnavatelů přikládá větší váhu pružnosti pracovní síly.</w:t>
      </w:r>
    </w:p>
    <w:p w:rsidR="00F9678E" w:rsidRPr="00014173" w:rsidRDefault="00F9678E" w:rsidP="00014173">
      <w:pPr>
        <w:rPr>
          <w:lang w:eastAsia="cs-CZ"/>
        </w:rPr>
      </w:pPr>
      <w:r w:rsidRPr="00014173">
        <w:rPr>
          <w:lang w:eastAsia="cs-CZ"/>
        </w:rPr>
        <w:t>Z komunikace se zaměstnavateli rovněž vyplynula velká důležitost osobnostních vlastností uchazečů. Jde zejména o samotný přístup k práci snahu, iniciativu...</w:t>
      </w:r>
      <w:r w:rsidR="00F57202" w:rsidRPr="00014173">
        <w:rPr>
          <w:lang w:eastAsia="cs-CZ"/>
        </w:rPr>
        <w:t xml:space="preserve"> Z tohoto pohledu je situace v regionu a pravděpodobně i v celé ČR stále horší.</w:t>
      </w:r>
    </w:p>
    <w:p w:rsidR="0045071F" w:rsidRDefault="0045071F" w:rsidP="00F9678E">
      <w:pPr>
        <w:pStyle w:val="Analzatext"/>
        <w:jc w:val="center"/>
        <w:rPr>
          <w:color w:val="000000"/>
          <w:lang w:eastAsia="cs-CZ"/>
        </w:rPr>
      </w:pPr>
      <w:r w:rsidRPr="0045071F">
        <w:rPr>
          <w:noProof/>
          <w:color w:val="000000"/>
          <w:lang w:eastAsia="cs-CZ"/>
        </w:rPr>
        <w:lastRenderedPageBreak/>
        <w:drawing>
          <wp:inline distT="0" distB="0" distL="0" distR="0">
            <wp:extent cx="4943473" cy="3009898"/>
            <wp:effectExtent l="19050" t="0" r="9527" b="2"/>
            <wp:docPr id="42"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9678E" w:rsidRPr="00014173" w:rsidRDefault="00F9678E" w:rsidP="00014173">
      <w:pPr>
        <w:rPr>
          <w:lang w:eastAsia="cs-CZ"/>
        </w:rPr>
      </w:pPr>
      <w:r w:rsidRPr="00014173">
        <w:rPr>
          <w:lang w:eastAsia="cs-CZ"/>
        </w:rPr>
        <w:t>Obecně lze říci</w:t>
      </w:r>
      <w:r w:rsidR="00751E25" w:rsidRPr="00014173">
        <w:rPr>
          <w:lang w:eastAsia="cs-CZ"/>
        </w:rPr>
        <w:t>, že pracovní síla v regionu není limitujícím faktorem rozvoje podnikání nebo činnosti jiných zaměstnavatelů. Z pohledu zaměstnanosti je problémem ale výskyt nezanedbatelní skupiny obyvatel, která je obtížně zaměstnatelná. Tvoří ji převážně dlouhodobě nezaměstnaní a příslušníci některé z dalších znevýhodněných skupin obyvatel na trhu práce )mladí lidé bez pracovních zkušeností, osoby nad 50 let, zdravotně nebo mentálně postižené osoby...).</w:t>
      </w:r>
    </w:p>
    <w:p w:rsidR="00DE143A" w:rsidRDefault="00DE143A" w:rsidP="00DE143A">
      <w:pPr>
        <w:pStyle w:val="Nadpis5"/>
        <w:rPr>
          <w:lang w:eastAsia="cs-CZ"/>
        </w:rPr>
      </w:pPr>
      <w:r>
        <w:rPr>
          <w:lang w:eastAsia="cs-CZ"/>
        </w:rPr>
        <w:t>Další vlivy na podnikání</w:t>
      </w:r>
    </w:p>
    <w:p w:rsidR="00DE143A" w:rsidRDefault="00A2314B" w:rsidP="00DE143A">
      <w:pPr>
        <w:rPr>
          <w:lang w:eastAsia="cs-CZ"/>
        </w:rPr>
      </w:pPr>
      <w:r>
        <w:rPr>
          <w:lang w:eastAsia="cs-CZ"/>
        </w:rPr>
        <w:t>Důležitost faktorů na další vývoj stanovily sami subjekty v regionu od</w:t>
      </w:r>
      <w:r w:rsidR="00C54C5D">
        <w:rPr>
          <w:lang w:eastAsia="cs-CZ"/>
        </w:rPr>
        <w:t>pověďmi v dotazníkovém šetření.</w:t>
      </w:r>
    </w:p>
    <w:p w:rsidR="00C54C5D" w:rsidRDefault="00C54C5D" w:rsidP="00DE143A">
      <w:pPr>
        <w:rPr>
          <w:lang w:eastAsia="cs-CZ"/>
        </w:rPr>
      </w:pPr>
      <w:r>
        <w:rPr>
          <w:lang w:eastAsia="cs-CZ"/>
        </w:rPr>
        <w:t xml:space="preserve">Jako v odpovědích nejčetnější faktor byl zmiňován aktuální ekonomický vývoj, který má vliv na poptávku po zboží a službách, což je v podstatě zdroj financí subjektů. </w:t>
      </w:r>
    </w:p>
    <w:p w:rsidR="00C54C5D" w:rsidRPr="00DE143A" w:rsidRDefault="00C54C5D" w:rsidP="00DE143A">
      <w:pPr>
        <w:rPr>
          <w:lang w:eastAsia="cs-CZ"/>
        </w:rPr>
      </w:pPr>
      <w:r>
        <w:rPr>
          <w:lang w:eastAsia="cs-CZ"/>
        </w:rPr>
        <w:t>Z dalších důležitých faktorů má zásadní vliv konkurence (17 %), ceny energií jako vstupu pro výrobky a služby (15 %), legislativní podmínky (11 %). Další zejména provozní faktory jsou již zastoupeny v menší míře, z čehož vyplývá, že s faktory, které jsou běžné při podnikání, jsou subjekty srovnány dobře.</w:t>
      </w:r>
    </w:p>
    <w:p w:rsidR="0045071F" w:rsidRDefault="0045071F" w:rsidP="0045071F">
      <w:pPr>
        <w:pStyle w:val="Analzatext"/>
        <w:rPr>
          <w:color w:val="000000"/>
          <w:lang w:eastAsia="cs-CZ"/>
        </w:rPr>
      </w:pPr>
      <w:r w:rsidRPr="0045071F">
        <w:rPr>
          <w:noProof/>
          <w:color w:val="000000"/>
          <w:lang w:eastAsia="cs-CZ"/>
        </w:rPr>
        <w:lastRenderedPageBreak/>
        <w:drawing>
          <wp:inline distT="0" distB="0" distL="0" distR="0">
            <wp:extent cx="5760720" cy="3143891"/>
            <wp:effectExtent l="19050" t="0" r="11430" b="0"/>
            <wp:docPr id="47"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D415C" w:rsidRDefault="009D415C" w:rsidP="0045071F">
      <w:pPr>
        <w:pStyle w:val="Analzatext"/>
        <w:rPr>
          <w:color w:val="000000"/>
          <w:lang w:eastAsia="cs-CZ"/>
        </w:rPr>
      </w:pPr>
    </w:p>
    <w:p w:rsidR="009D415C" w:rsidRDefault="009D415C" w:rsidP="0045071F">
      <w:pPr>
        <w:pStyle w:val="Analzatext"/>
        <w:rPr>
          <w:color w:val="000000"/>
          <w:lang w:eastAsia="cs-CZ"/>
        </w:rPr>
      </w:pPr>
      <w:r>
        <w:rPr>
          <w:color w:val="000000"/>
          <w:lang w:eastAsia="cs-CZ"/>
        </w:rPr>
        <w:t>Co se týče budoucího vývoje podniků a neziskových organizací v regionu, nelze jednoznačně určit hlavní směr rozvoje (viz graf níže). Pouze lze obecně shrnout, že potřeby subjektů ses koncentrují na výrobní faktory jako prostory a technologie.</w:t>
      </w:r>
    </w:p>
    <w:p w:rsidR="009D415C" w:rsidRDefault="009D415C" w:rsidP="0045071F">
      <w:pPr>
        <w:pStyle w:val="Analzatext"/>
        <w:rPr>
          <w:color w:val="000000"/>
          <w:lang w:eastAsia="cs-CZ"/>
        </w:rPr>
      </w:pPr>
    </w:p>
    <w:p w:rsidR="0045071F" w:rsidRDefault="0045071F" w:rsidP="0045071F">
      <w:pPr>
        <w:pStyle w:val="Analzatext"/>
        <w:rPr>
          <w:color w:val="000000"/>
          <w:lang w:eastAsia="cs-CZ"/>
        </w:rPr>
      </w:pPr>
      <w:r w:rsidRPr="0045071F">
        <w:rPr>
          <w:noProof/>
          <w:color w:val="000000"/>
          <w:lang w:eastAsia="cs-CZ"/>
        </w:rPr>
        <w:drawing>
          <wp:inline distT="0" distB="0" distL="0" distR="0">
            <wp:extent cx="5760720" cy="3389208"/>
            <wp:effectExtent l="19050" t="0" r="11430" b="1692"/>
            <wp:docPr id="5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D415C" w:rsidRDefault="009D415C" w:rsidP="0045071F">
      <w:pPr>
        <w:pStyle w:val="Analzatext"/>
        <w:rPr>
          <w:color w:val="000000"/>
          <w:lang w:eastAsia="cs-CZ"/>
        </w:rPr>
      </w:pPr>
    </w:p>
    <w:p w:rsidR="009D415C" w:rsidRDefault="009A1209" w:rsidP="0045071F">
      <w:pPr>
        <w:pStyle w:val="Analzatext"/>
        <w:rPr>
          <w:color w:val="000000"/>
          <w:lang w:eastAsia="cs-CZ"/>
        </w:rPr>
      </w:pPr>
      <w:r>
        <w:rPr>
          <w:color w:val="000000"/>
          <w:lang w:eastAsia="cs-CZ"/>
        </w:rPr>
        <w:t xml:space="preserve">Drtivá většina subjektů se při výrobě nebo poskytování služeb neobejde bez dodavatelů a subdodavatelů, kteří tak představují jeden ze zásadních zdrojů a předpokladů podnikání. </w:t>
      </w:r>
    </w:p>
    <w:p w:rsidR="009A1209" w:rsidRDefault="009A1209" w:rsidP="0045071F">
      <w:pPr>
        <w:pStyle w:val="Analzatext"/>
        <w:rPr>
          <w:color w:val="000000"/>
          <w:lang w:eastAsia="cs-CZ"/>
        </w:rPr>
      </w:pPr>
      <w:r>
        <w:rPr>
          <w:color w:val="000000"/>
          <w:lang w:eastAsia="cs-CZ"/>
        </w:rPr>
        <w:lastRenderedPageBreak/>
        <w:t>Výsledky dotazníkového šetření ukazují většinovou spokojenost s touto oblastí, což poukazuje na dobrou úroveň spolupráce subjektů v regionu (viz graf níže). Ovšem i zde existuje prostor pro zlepšení, protože 17 % dotázaných se vyjádřilo k této otázce negativně. Faktory pro zlepšení lze nalézat v podmínkách pro toto podpůrné podnikání (poptávky v dané oblasti, podmínky v obci, nadřazení podmínky – legislativa..., zdroje financování...).</w:t>
      </w:r>
    </w:p>
    <w:p w:rsidR="009D415C" w:rsidRDefault="009D415C" w:rsidP="0045071F">
      <w:pPr>
        <w:pStyle w:val="Analzatext"/>
        <w:rPr>
          <w:color w:val="000000"/>
          <w:lang w:eastAsia="cs-CZ"/>
        </w:rPr>
      </w:pPr>
    </w:p>
    <w:p w:rsidR="0045071F" w:rsidRDefault="0045071F" w:rsidP="009D415C">
      <w:pPr>
        <w:pStyle w:val="Analzatext"/>
        <w:jc w:val="center"/>
        <w:rPr>
          <w:color w:val="000000"/>
          <w:lang w:eastAsia="cs-CZ"/>
        </w:rPr>
      </w:pPr>
      <w:r w:rsidRPr="0045071F">
        <w:rPr>
          <w:noProof/>
          <w:color w:val="000000"/>
          <w:lang w:eastAsia="cs-CZ"/>
        </w:rPr>
        <w:drawing>
          <wp:inline distT="0" distB="0" distL="0" distR="0">
            <wp:extent cx="4572000" cy="2743200"/>
            <wp:effectExtent l="19050" t="0" r="19050" b="0"/>
            <wp:docPr id="63"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A1209" w:rsidRDefault="009A1209" w:rsidP="009A1209">
      <w:pPr>
        <w:pStyle w:val="Analzatext"/>
        <w:rPr>
          <w:color w:val="000000"/>
          <w:lang w:eastAsia="cs-CZ"/>
        </w:rPr>
      </w:pPr>
    </w:p>
    <w:p w:rsidR="009A1209" w:rsidRDefault="009A1209" w:rsidP="009A1209">
      <w:pPr>
        <w:pStyle w:val="Analzatext"/>
        <w:rPr>
          <w:color w:val="000000"/>
          <w:lang w:eastAsia="cs-CZ"/>
        </w:rPr>
      </w:pPr>
      <w:r>
        <w:rPr>
          <w:color w:val="000000"/>
          <w:lang w:eastAsia="cs-CZ"/>
        </w:rPr>
        <w:t>Z názorů regionálních aktérů vyplývá, že hlavními faktory, které negativně ovlivňují jejich činnost je ekonomická situace, konkurence, byrokracie, a nedostatek investic v regionu.</w:t>
      </w:r>
    </w:p>
    <w:p w:rsidR="00A2314B" w:rsidRDefault="00A2314B" w:rsidP="0045071F">
      <w:pPr>
        <w:pStyle w:val="Analzatext"/>
        <w:rPr>
          <w:color w:val="000000"/>
          <w:lang w:eastAsia="cs-CZ"/>
        </w:rPr>
      </w:pPr>
    </w:p>
    <w:p w:rsidR="00DE143A" w:rsidRDefault="00DE143A" w:rsidP="00DE143A">
      <w:pPr>
        <w:pStyle w:val="Nadpis5"/>
        <w:rPr>
          <w:lang w:eastAsia="cs-CZ"/>
        </w:rPr>
      </w:pPr>
      <w:r>
        <w:rPr>
          <w:lang w:eastAsia="cs-CZ"/>
        </w:rPr>
        <w:t>Spolupráce s obcemi</w:t>
      </w:r>
    </w:p>
    <w:p w:rsidR="00DE143A" w:rsidRPr="00DE143A" w:rsidRDefault="006F67CE" w:rsidP="00DE143A">
      <w:pPr>
        <w:rPr>
          <w:lang w:eastAsia="cs-CZ"/>
        </w:rPr>
      </w:pPr>
      <w:r>
        <w:rPr>
          <w:lang w:eastAsia="cs-CZ"/>
        </w:rPr>
        <w:t xml:space="preserve">Region MAS může být spokojený s </w:t>
      </w:r>
      <w:r w:rsidR="009A1209">
        <w:rPr>
          <w:lang w:eastAsia="cs-CZ"/>
        </w:rPr>
        <w:t xml:space="preserve">dobrou úrovní komunitní spolupráce různých </w:t>
      </w:r>
      <w:r w:rsidR="00DB02A4">
        <w:rPr>
          <w:lang w:eastAsia="cs-CZ"/>
        </w:rPr>
        <w:t xml:space="preserve">obcí, </w:t>
      </w:r>
      <w:r w:rsidR="009A1209">
        <w:rPr>
          <w:lang w:eastAsia="cs-CZ"/>
        </w:rPr>
        <w:t>subjektů a</w:t>
      </w:r>
      <w:r w:rsidR="00DB02A4">
        <w:rPr>
          <w:lang w:eastAsia="cs-CZ"/>
        </w:rPr>
        <w:t xml:space="preserve"> </w:t>
      </w:r>
      <w:r w:rsidR="009A1209">
        <w:rPr>
          <w:lang w:eastAsia="cs-CZ"/>
        </w:rPr>
        <w:t>obyvatel</w:t>
      </w:r>
      <w:r w:rsidR="00DB02A4">
        <w:rPr>
          <w:lang w:eastAsia="cs-CZ"/>
        </w:rPr>
        <w:t>. Ani v oblasti podnikání a činnosti neziskových organizací tomu není jinak. Celých 83 % dotázaných hodnotí přístup obcí k jejich činnosti pozitivně nebo spíše pozitivně. Co se týče informovanosti ze strany obcí, pozitivní hodnocení ze strany podnikatelů a neziskových organizací skrývalo celkem 96 % odpovědí.</w:t>
      </w:r>
    </w:p>
    <w:p w:rsidR="0045071F" w:rsidRDefault="00DE143A" w:rsidP="00DB02A4">
      <w:pPr>
        <w:pStyle w:val="Analzatext"/>
        <w:jc w:val="left"/>
        <w:rPr>
          <w:color w:val="000000"/>
          <w:lang w:eastAsia="cs-CZ"/>
        </w:rPr>
      </w:pPr>
      <w:r w:rsidRPr="0045071F">
        <w:rPr>
          <w:noProof/>
          <w:color w:val="000000"/>
          <w:lang w:eastAsia="cs-CZ"/>
        </w:rPr>
        <w:drawing>
          <wp:inline distT="0" distB="0" distL="0" distR="0">
            <wp:extent cx="2809875" cy="1724025"/>
            <wp:effectExtent l="19050" t="0" r="9525" b="0"/>
            <wp:docPr id="12"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45071F" w:rsidRPr="0045071F">
        <w:rPr>
          <w:noProof/>
          <w:color w:val="000000"/>
          <w:lang w:eastAsia="cs-CZ"/>
        </w:rPr>
        <w:drawing>
          <wp:inline distT="0" distB="0" distL="0" distR="0">
            <wp:extent cx="2819400" cy="1724025"/>
            <wp:effectExtent l="19050" t="0" r="19050" b="0"/>
            <wp:docPr id="65"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B02A4" w:rsidRDefault="00DB02A4" w:rsidP="00DB02A4">
      <w:pPr>
        <w:pStyle w:val="Analzatext"/>
        <w:jc w:val="left"/>
        <w:rPr>
          <w:color w:val="000000"/>
          <w:lang w:eastAsia="cs-CZ"/>
        </w:rPr>
      </w:pPr>
    </w:p>
    <w:p w:rsidR="00DB02A4" w:rsidRDefault="00DB02A4" w:rsidP="00DF7ABB">
      <w:pPr>
        <w:rPr>
          <w:lang w:eastAsia="cs-CZ"/>
        </w:rPr>
      </w:pPr>
      <w:r>
        <w:rPr>
          <w:lang w:eastAsia="cs-CZ"/>
        </w:rPr>
        <w:t>Následující graf pak ukazuje oblasti, které jsou důležité pro další zlepšování spolupráce a aktivních subjektů. I zde je evidentní, že oblast nelze jednoznačně identifikovat, ale že dobrá spolupráce subjektů je multifaktorová oblast.</w:t>
      </w:r>
      <w:r w:rsidR="00AC5FA3">
        <w:rPr>
          <w:lang w:eastAsia="cs-CZ"/>
        </w:rPr>
        <w:t xml:space="preserve"> Zajímavá je ale četnost (27 % odpovědí) zmínění propagace jako oblasti podpory činnosti podniků a neziskových organizací.</w:t>
      </w:r>
    </w:p>
    <w:p w:rsidR="00DB02A4" w:rsidRDefault="00DB02A4" w:rsidP="00DB02A4">
      <w:pPr>
        <w:pStyle w:val="Analzatext"/>
        <w:jc w:val="left"/>
        <w:rPr>
          <w:color w:val="000000"/>
          <w:lang w:eastAsia="cs-CZ"/>
        </w:rPr>
      </w:pPr>
    </w:p>
    <w:p w:rsidR="009E3B49" w:rsidRDefault="009E3B49" w:rsidP="00DB02A4">
      <w:pPr>
        <w:pStyle w:val="Analzatext"/>
        <w:jc w:val="center"/>
        <w:rPr>
          <w:color w:val="000000"/>
          <w:lang w:eastAsia="cs-CZ"/>
        </w:rPr>
      </w:pPr>
      <w:r w:rsidRPr="009E3B49">
        <w:rPr>
          <w:noProof/>
          <w:color w:val="000000"/>
          <w:lang w:eastAsia="cs-CZ"/>
        </w:rPr>
        <w:drawing>
          <wp:inline distT="0" distB="0" distL="0" distR="0">
            <wp:extent cx="4572000" cy="2914650"/>
            <wp:effectExtent l="19050" t="0" r="19050" b="0"/>
            <wp:docPr id="67"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E3B49" w:rsidRDefault="009E3B49" w:rsidP="0045071F">
      <w:pPr>
        <w:pStyle w:val="Analzatext"/>
        <w:rPr>
          <w:color w:val="000000"/>
          <w:lang w:eastAsia="cs-CZ"/>
        </w:rPr>
      </w:pPr>
    </w:p>
    <w:p w:rsidR="009E3B49" w:rsidRDefault="00EA5F74" w:rsidP="00DE143A">
      <w:pPr>
        <w:pStyle w:val="Nadpis5"/>
        <w:rPr>
          <w:lang w:eastAsia="cs-CZ"/>
        </w:rPr>
      </w:pPr>
      <w:r>
        <w:rPr>
          <w:lang w:eastAsia="cs-CZ"/>
        </w:rPr>
        <w:t>Zkušenosti podniků a neziskových organizací</w:t>
      </w:r>
      <w:r w:rsidR="00D60384">
        <w:rPr>
          <w:lang w:eastAsia="cs-CZ"/>
        </w:rPr>
        <w:t xml:space="preserve"> s</w:t>
      </w:r>
      <w:r w:rsidR="00DE143A">
        <w:rPr>
          <w:lang w:eastAsia="cs-CZ"/>
        </w:rPr>
        <w:t xml:space="preserve"> dotace</w:t>
      </w:r>
      <w:r w:rsidR="00D60384">
        <w:rPr>
          <w:lang w:eastAsia="cs-CZ"/>
        </w:rPr>
        <w:t>mi</w:t>
      </w:r>
      <w:r w:rsidR="00DE143A">
        <w:rPr>
          <w:lang w:eastAsia="cs-CZ"/>
        </w:rPr>
        <w:t xml:space="preserve"> EU</w:t>
      </w:r>
    </w:p>
    <w:p w:rsidR="00D60384" w:rsidRDefault="008A3816" w:rsidP="00D60384">
      <w:pPr>
        <w:rPr>
          <w:lang w:eastAsia="cs-CZ"/>
        </w:rPr>
      </w:pPr>
      <w:r>
        <w:rPr>
          <w:lang w:eastAsia="cs-CZ"/>
        </w:rPr>
        <w:t>V regionu se za posledních několik let podařilo rozšířit povědomí o MAS a jejích činnostech. Mimo jiné díky tomu mohly některé subjekty získat zkušenosti v oblasti dotací. Objemově však mnohem více dotací do regionu přiteklo mimo MAS.</w:t>
      </w:r>
    </w:p>
    <w:p w:rsidR="008A3816" w:rsidRPr="00D60384" w:rsidRDefault="008A3816" w:rsidP="00D60384">
      <w:pPr>
        <w:rPr>
          <w:lang w:eastAsia="cs-CZ"/>
        </w:rPr>
      </w:pPr>
      <w:r>
        <w:rPr>
          <w:lang w:eastAsia="cs-CZ"/>
        </w:rPr>
        <w:t>Z níže zobrazeného grafu je evidentní, že zkušenosti neziskových organizací jsou daleko větší. Neziskové organizace se na tento zdroj příjmů musejí často spoléhat, zatímco podnikatelské subjekty mohou dotace podpořit, ale hlavní zdroj je pro ně v jejich činnosti.</w:t>
      </w:r>
    </w:p>
    <w:p w:rsidR="009E3B49" w:rsidRDefault="00D60384" w:rsidP="006F67CE">
      <w:pPr>
        <w:pStyle w:val="Analzatext"/>
        <w:jc w:val="center"/>
        <w:rPr>
          <w:color w:val="000000"/>
          <w:lang w:eastAsia="cs-CZ"/>
        </w:rPr>
      </w:pPr>
      <w:r w:rsidRPr="00D60384">
        <w:rPr>
          <w:noProof/>
          <w:color w:val="000000"/>
          <w:lang w:eastAsia="cs-CZ"/>
        </w:rPr>
        <w:lastRenderedPageBreak/>
        <w:drawing>
          <wp:inline distT="0" distB="0" distL="0" distR="0">
            <wp:extent cx="4572000" cy="2743200"/>
            <wp:effectExtent l="19050" t="0" r="19050" b="0"/>
            <wp:docPr id="3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E3B49" w:rsidRDefault="009E3B49" w:rsidP="0045071F">
      <w:pPr>
        <w:pStyle w:val="Analzatext"/>
        <w:rPr>
          <w:noProof/>
          <w:color w:val="000000"/>
          <w:lang w:eastAsia="cs-CZ"/>
        </w:rPr>
      </w:pPr>
    </w:p>
    <w:p w:rsidR="00D60384" w:rsidRDefault="008A3816" w:rsidP="0045071F">
      <w:pPr>
        <w:pStyle w:val="Analzatext"/>
        <w:rPr>
          <w:color w:val="000000"/>
          <w:lang w:eastAsia="cs-CZ"/>
        </w:rPr>
      </w:pPr>
      <w:r>
        <w:rPr>
          <w:color w:val="000000"/>
          <w:lang w:eastAsia="cs-CZ"/>
        </w:rPr>
        <w:t>Co se týče počtu realizovaných projektů, opět disponují daleko většími zkušenostmi nestátní neziskové organizace.</w:t>
      </w:r>
    </w:p>
    <w:p w:rsidR="009E3B49" w:rsidRDefault="009E3B49" w:rsidP="0045071F">
      <w:pPr>
        <w:pStyle w:val="Analzatext"/>
        <w:rPr>
          <w:noProof/>
          <w:color w:val="000000"/>
          <w:lang w:eastAsia="cs-CZ"/>
        </w:rPr>
      </w:pPr>
    </w:p>
    <w:p w:rsidR="00D60384" w:rsidRDefault="00D60384" w:rsidP="006F67CE">
      <w:pPr>
        <w:pStyle w:val="Analzatext"/>
        <w:jc w:val="center"/>
        <w:rPr>
          <w:color w:val="000000"/>
          <w:lang w:eastAsia="cs-CZ"/>
        </w:rPr>
      </w:pPr>
      <w:r w:rsidRPr="00D60384">
        <w:rPr>
          <w:noProof/>
          <w:color w:val="000000"/>
          <w:lang w:eastAsia="cs-CZ"/>
        </w:rPr>
        <w:drawing>
          <wp:inline distT="0" distB="0" distL="0" distR="0">
            <wp:extent cx="4572000" cy="2743200"/>
            <wp:effectExtent l="19050" t="0" r="19050" b="0"/>
            <wp:docPr id="3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E3B49" w:rsidRDefault="009E3B49" w:rsidP="0045071F">
      <w:pPr>
        <w:pStyle w:val="Analzatext"/>
        <w:rPr>
          <w:color w:val="000000"/>
          <w:lang w:eastAsia="cs-CZ"/>
        </w:rPr>
      </w:pPr>
    </w:p>
    <w:p w:rsidR="008A3816" w:rsidRDefault="008A3816" w:rsidP="00DF7ABB">
      <w:pPr>
        <w:rPr>
          <w:lang w:eastAsia="cs-CZ"/>
        </w:rPr>
      </w:pPr>
      <w:r>
        <w:rPr>
          <w:lang w:eastAsia="cs-CZ"/>
        </w:rPr>
        <w:t>Určitá administrativní náročnost je nezbytnou součástí všech grantů a dotací. V tomto se názory obou skupin přibližně shodují. Pouze u podnikatelských subjektů je patrné, že jsou i subjekty, které nemají vůbec žádnou zkušenost a tudíž nejsou administrativní náročnost schopny vyjádřit.</w:t>
      </w:r>
    </w:p>
    <w:p w:rsidR="008A3816" w:rsidRDefault="008A3816" w:rsidP="0045071F">
      <w:pPr>
        <w:pStyle w:val="Analzatext"/>
        <w:rPr>
          <w:color w:val="000000"/>
          <w:lang w:eastAsia="cs-CZ"/>
        </w:rPr>
      </w:pPr>
    </w:p>
    <w:p w:rsidR="009E3B49" w:rsidRDefault="00D60384" w:rsidP="006F67CE">
      <w:pPr>
        <w:pStyle w:val="Analzatext"/>
        <w:jc w:val="center"/>
        <w:rPr>
          <w:color w:val="000000"/>
          <w:lang w:eastAsia="cs-CZ"/>
        </w:rPr>
      </w:pPr>
      <w:r w:rsidRPr="00D60384">
        <w:rPr>
          <w:noProof/>
          <w:color w:val="000000"/>
          <w:lang w:eastAsia="cs-CZ"/>
        </w:rPr>
        <w:lastRenderedPageBreak/>
        <w:drawing>
          <wp:inline distT="0" distB="0" distL="0" distR="0">
            <wp:extent cx="4572000" cy="2743200"/>
            <wp:effectExtent l="19050" t="0" r="19050" b="0"/>
            <wp:docPr id="2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E3B49" w:rsidRDefault="009E3B49" w:rsidP="0045071F">
      <w:pPr>
        <w:pStyle w:val="Analzatext"/>
        <w:rPr>
          <w:color w:val="000000"/>
          <w:lang w:eastAsia="cs-CZ"/>
        </w:rPr>
      </w:pPr>
    </w:p>
    <w:p w:rsidR="008A3816" w:rsidRDefault="001350FF" w:rsidP="00DF7ABB">
      <w:pPr>
        <w:rPr>
          <w:lang w:eastAsia="cs-CZ"/>
        </w:rPr>
      </w:pPr>
      <w:r>
        <w:rPr>
          <w:lang w:eastAsia="cs-CZ"/>
        </w:rPr>
        <w:t>Z obou níže uvedených grafů vyplývá, že většina subjektů je aktivní a projekty připrav</w:t>
      </w:r>
      <w:r w:rsidR="003B2C98">
        <w:rPr>
          <w:lang w:eastAsia="cs-CZ"/>
        </w:rPr>
        <w:t>u</w:t>
      </w:r>
      <w:r>
        <w:rPr>
          <w:lang w:eastAsia="cs-CZ"/>
        </w:rPr>
        <w:t>je a plánuje. Kromě malé skupiny podnikatelských subjektů, které se spoléhá na vlastní zdroje nebo projekty neplánuje je rovněž evid</w:t>
      </w:r>
      <w:r w:rsidR="00DF7ABB">
        <w:rPr>
          <w:lang w:eastAsia="cs-CZ"/>
        </w:rPr>
        <w:t>e</w:t>
      </w:r>
      <w:r>
        <w:rPr>
          <w:lang w:eastAsia="cs-CZ"/>
        </w:rPr>
        <w:t>nt</w:t>
      </w:r>
      <w:r w:rsidR="003B2C98">
        <w:rPr>
          <w:lang w:eastAsia="cs-CZ"/>
        </w:rPr>
        <w:t>n</w:t>
      </w:r>
      <w:r>
        <w:rPr>
          <w:lang w:eastAsia="cs-CZ"/>
        </w:rPr>
        <w:t>í zájem o dotační podporu.</w:t>
      </w:r>
    </w:p>
    <w:p w:rsidR="008A3816" w:rsidRDefault="008A3816" w:rsidP="0045071F">
      <w:pPr>
        <w:pStyle w:val="Analzatext"/>
        <w:rPr>
          <w:color w:val="000000"/>
          <w:lang w:eastAsia="cs-CZ"/>
        </w:rPr>
      </w:pPr>
    </w:p>
    <w:p w:rsidR="009E3B49" w:rsidRDefault="00D60384" w:rsidP="006F67CE">
      <w:pPr>
        <w:pStyle w:val="Analzatext"/>
        <w:jc w:val="center"/>
        <w:rPr>
          <w:color w:val="000000"/>
          <w:lang w:eastAsia="cs-CZ"/>
        </w:rPr>
      </w:pPr>
      <w:r w:rsidRPr="00D60384">
        <w:rPr>
          <w:noProof/>
          <w:color w:val="000000"/>
          <w:lang w:eastAsia="cs-CZ"/>
        </w:rPr>
        <w:drawing>
          <wp:inline distT="0" distB="0" distL="0" distR="0">
            <wp:extent cx="4572000" cy="2743200"/>
            <wp:effectExtent l="19050" t="0" r="19050" b="0"/>
            <wp:docPr id="2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5071F" w:rsidRDefault="0045071F" w:rsidP="0045071F">
      <w:pPr>
        <w:pStyle w:val="Analzatext"/>
        <w:rPr>
          <w:color w:val="000000"/>
          <w:lang w:eastAsia="cs-CZ"/>
        </w:rPr>
      </w:pPr>
    </w:p>
    <w:p w:rsidR="008A3816" w:rsidRDefault="008A3816" w:rsidP="0045071F">
      <w:pPr>
        <w:pStyle w:val="Analzatext"/>
        <w:rPr>
          <w:color w:val="000000"/>
          <w:lang w:eastAsia="cs-CZ"/>
        </w:rPr>
      </w:pPr>
    </w:p>
    <w:p w:rsidR="009E3B49" w:rsidRDefault="00D60384" w:rsidP="0045071F">
      <w:pPr>
        <w:pStyle w:val="Analzatext"/>
        <w:rPr>
          <w:color w:val="000000"/>
          <w:lang w:eastAsia="cs-CZ"/>
        </w:rPr>
      </w:pPr>
      <w:r w:rsidRPr="00D60384">
        <w:rPr>
          <w:noProof/>
          <w:color w:val="000000"/>
          <w:lang w:eastAsia="cs-CZ"/>
        </w:rPr>
        <w:lastRenderedPageBreak/>
        <w:drawing>
          <wp:inline distT="0" distB="0" distL="0" distR="0">
            <wp:extent cx="4572000" cy="2743200"/>
            <wp:effectExtent l="19050" t="0" r="19050" b="0"/>
            <wp:docPr id="2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E3B49" w:rsidRDefault="009E3B49" w:rsidP="0045071F">
      <w:pPr>
        <w:pStyle w:val="Analzatext"/>
        <w:rPr>
          <w:color w:val="000000"/>
          <w:lang w:eastAsia="cs-CZ"/>
        </w:rPr>
      </w:pPr>
    </w:p>
    <w:p w:rsidR="001350FF" w:rsidRDefault="001350FF" w:rsidP="0045071F">
      <w:pPr>
        <w:pStyle w:val="Analzatext"/>
        <w:rPr>
          <w:color w:val="000000"/>
          <w:lang w:eastAsia="cs-CZ"/>
        </w:rPr>
      </w:pPr>
      <w:r>
        <w:rPr>
          <w:color w:val="000000"/>
          <w:lang w:eastAsia="cs-CZ"/>
        </w:rPr>
        <w:t xml:space="preserve">Z názorů obou skupin vyplývá, že základním typem plánovaných projektů jsou stavební úpravy provozoven nebo prostory činnosti neziskových organizací. </w:t>
      </w:r>
    </w:p>
    <w:p w:rsidR="0045071F" w:rsidRDefault="0045071F" w:rsidP="0045071F">
      <w:pPr>
        <w:pStyle w:val="Analzatext"/>
        <w:rPr>
          <w:color w:val="000000"/>
          <w:lang w:eastAsia="cs-CZ"/>
        </w:rPr>
      </w:pPr>
    </w:p>
    <w:p w:rsidR="00AC5FA3" w:rsidRPr="0017451E" w:rsidRDefault="00AC5FA3" w:rsidP="00AC5FA3">
      <w:pPr>
        <w:pStyle w:val="Nadpis5"/>
      </w:pPr>
      <w:r w:rsidRPr="0017451E">
        <w:t>Shrnutí informací o podnikán</w:t>
      </w:r>
      <w:r w:rsidR="0017451E" w:rsidRPr="0017451E">
        <w:t>í</w:t>
      </w:r>
      <w:r w:rsidRPr="0017451E">
        <w:t xml:space="preserve"> a výrobě</w:t>
      </w:r>
    </w:p>
    <w:tbl>
      <w:tblPr>
        <w:tblStyle w:val="Mkatabulky"/>
        <w:tblW w:w="0" w:type="auto"/>
        <w:tblLook w:val="04A0"/>
      </w:tblPr>
      <w:tblGrid>
        <w:gridCol w:w="4606"/>
        <w:gridCol w:w="4606"/>
      </w:tblGrid>
      <w:tr w:rsidR="0017451E" w:rsidTr="0017451E">
        <w:trPr>
          <w:cantSplit/>
        </w:trPr>
        <w:tc>
          <w:tcPr>
            <w:tcW w:w="4606" w:type="dxa"/>
            <w:shd w:val="clear" w:color="auto" w:fill="D6E3BC" w:themeFill="accent3" w:themeFillTint="66"/>
          </w:tcPr>
          <w:p w:rsidR="0017451E" w:rsidRPr="000F7E1C" w:rsidRDefault="0017451E" w:rsidP="0017451E">
            <w:pPr>
              <w:rPr>
                <w:b/>
              </w:rPr>
            </w:pPr>
            <w:r w:rsidRPr="000F7E1C">
              <w:rPr>
                <w:b/>
              </w:rPr>
              <w:t>S „Silné stránky“</w:t>
            </w:r>
          </w:p>
        </w:tc>
        <w:tc>
          <w:tcPr>
            <w:tcW w:w="4606" w:type="dxa"/>
            <w:shd w:val="clear" w:color="auto" w:fill="FBD4B4" w:themeFill="accent6" w:themeFillTint="66"/>
          </w:tcPr>
          <w:p w:rsidR="0017451E" w:rsidRPr="000F7E1C" w:rsidRDefault="0017451E" w:rsidP="0017451E">
            <w:pPr>
              <w:rPr>
                <w:b/>
              </w:rPr>
            </w:pPr>
            <w:r w:rsidRPr="000F7E1C">
              <w:rPr>
                <w:b/>
              </w:rPr>
              <w:t>W „Slabé stránky“</w:t>
            </w:r>
          </w:p>
        </w:tc>
      </w:tr>
      <w:tr w:rsidR="0017451E" w:rsidTr="0017451E">
        <w:trPr>
          <w:cantSplit/>
          <w:trHeight w:val="2309"/>
        </w:trPr>
        <w:tc>
          <w:tcPr>
            <w:tcW w:w="4606" w:type="dxa"/>
            <w:shd w:val="clear" w:color="auto" w:fill="EAF1DD" w:themeFill="accent3" w:themeFillTint="33"/>
          </w:tcPr>
          <w:p w:rsidR="0017451E" w:rsidRDefault="0017451E" w:rsidP="00A60AC9">
            <w:pPr>
              <w:pStyle w:val="Odstavecseseznamem"/>
              <w:numPr>
                <w:ilvl w:val="0"/>
                <w:numId w:val="26"/>
              </w:numPr>
            </w:pPr>
            <w:r>
              <w:t>Existence velkých zavedených zaměstnavatelů.</w:t>
            </w:r>
          </w:p>
          <w:p w:rsidR="0017451E" w:rsidRDefault="0017451E" w:rsidP="00A60AC9">
            <w:pPr>
              <w:pStyle w:val="Odstavecseseznamem"/>
              <w:numPr>
                <w:ilvl w:val="0"/>
                <w:numId w:val="26"/>
              </w:numPr>
            </w:pPr>
            <w:r>
              <w:t>Nízká průměrná mzda.</w:t>
            </w:r>
          </w:p>
        </w:tc>
        <w:tc>
          <w:tcPr>
            <w:tcW w:w="4606" w:type="dxa"/>
            <w:shd w:val="clear" w:color="auto" w:fill="FDE9D9" w:themeFill="accent6" w:themeFillTint="33"/>
          </w:tcPr>
          <w:p w:rsidR="0017451E" w:rsidRDefault="0017451E" w:rsidP="00A60AC9">
            <w:pPr>
              <w:pStyle w:val="Odstavecseseznamem"/>
              <w:numPr>
                <w:ilvl w:val="0"/>
                <w:numId w:val="25"/>
              </w:numPr>
            </w:pPr>
            <w:r>
              <w:t>Nízká poptávka ze strany regionálních subjekt</w:t>
            </w:r>
            <w:r w:rsidR="001D6E4E">
              <w:t>ů (nízká kupní síla v regionu)</w:t>
            </w:r>
            <w:r>
              <w:t>.</w:t>
            </w:r>
          </w:p>
          <w:p w:rsidR="0017451E" w:rsidRDefault="0017451E" w:rsidP="00A60AC9">
            <w:pPr>
              <w:pStyle w:val="Odstavecseseznamem"/>
              <w:numPr>
                <w:ilvl w:val="0"/>
                <w:numId w:val="25"/>
              </w:numPr>
            </w:pPr>
            <w:r>
              <w:t>Nabídka pracovní síly nekoresponduje s poptávkou.</w:t>
            </w:r>
          </w:p>
        </w:tc>
      </w:tr>
      <w:tr w:rsidR="0017451E" w:rsidTr="0017451E">
        <w:trPr>
          <w:cantSplit/>
        </w:trPr>
        <w:tc>
          <w:tcPr>
            <w:tcW w:w="4606" w:type="dxa"/>
            <w:shd w:val="clear" w:color="auto" w:fill="B8CCE4" w:themeFill="accent1" w:themeFillTint="66"/>
          </w:tcPr>
          <w:p w:rsidR="0017451E" w:rsidRPr="000F7E1C" w:rsidRDefault="0017451E" w:rsidP="0017451E">
            <w:pPr>
              <w:rPr>
                <w:b/>
              </w:rPr>
            </w:pPr>
            <w:r w:rsidRPr="000F7E1C">
              <w:rPr>
                <w:b/>
              </w:rPr>
              <w:t>O „Příležitosti“</w:t>
            </w:r>
          </w:p>
        </w:tc>
        <w:tc>
          <w:tcPr>
            <w:tcW w:w="4606" w:type="dxa"/>
            <w:shd w:val="clear" w:color="auto" w:fill="E5B8B7" w:themeFill="accent2" w:themeFillTint="66"/>
          </w:tcPr>
          <w:p w:rsidR="0017451E" w:rsidRPr="000F7E1C" w:rsidRDefault="0017451E" w:rsidP="0017451E">
            <w:pPr>
              <w:rPr>
                <w:b/>
              </w:rPr>
            </w:pPr>
            <w:r w:rsidRPr="000F7E1C">
              <w:rPr>
                <w:b/>
              </w:rPr>
              <w:t>T „Hrozby“</w:t>
            </w:r>
          </w:p>
        </w:tc>
      </w:tr>
      <w:tr w:rsidR="0017451E" w:rsidTr="0017451E">
        <w:trPr>
          <w:cantSplit/>
          <w:trHeight w:val="2829"/>
        </w:trPr>
        <w:tc>
          <w:tcPr>
            <w:tcW w:w="4606" w:type="dxa"/>
            <w:shd w:val="clear" w:color="auto" w:fill="DBE5F1" w:themeFill="accent1" w:themeFillTint="33"/>
          </w:tcPr>
          <w:p w:rsidR="0017451E" w:rsidRDefault="0017451E" w:rsidP="00A60AC9">
            <w:pPr>
              <w:pStyle w:val="Odstavecseseznamem"/>
              <w:numPr>
                <w:ilvl w:val="0"/>
                <w:numId w:val="27"/>
              </w:numPr>
            </w:pPr>
            <w:r>
              <w:lastRenderedPageBreak/>
              <w:t>Propagace z pohledu regionální produkce.</w:t>
            </w:r>
          </w:p>
          <w:p w:rsidR="0017451E" w:rsidRDefault="0017451E" w:rsidP="00A60AC9">
            <w:pPr>
              <w:pStyle w:val="Odstavecseseznamem"/>
              <w:numPr>
                <w:ilvl w:val="0"/>
                <w:numId w:val="27"/>
              </w:numPr>
            </w:pPr>
            <w:r>
              <w:t>Poptávka generovaná cestovním ruchem.</w:t>
            </w:r>
          </w:p>
          <w:p w:rsidR="0017451E" w:rsidRDefault="0017451E" w:rsidP="00A60AC9">
            <w:pPr>
              <w:pStyle w:val="Odstavecseseznamem"/>
              <w:numPr>
                <w:ilvl w:val="0"/>
                <w:numId w:val="27"/>
              </w:numPr>
            </w:pPr>
            <w:r>
              <w:t>Průmyslové zóny v regionu.</w:t>
            </w:r>
          </w:p>
          <w:p w:rsidR="009F09EB" w:rsidRDefault="009F09EB" w:rsidP="00A60AC9">
            <w:pPr>
              <w:pStyle w:val="Odstavecseseznamem"/>
              <w:numPr>
                <w:ilvl w:val="0"/>
                <w:numId w:val="27"/>
              </w:numPr>
            </w:pPr>
            <w:r>
              <w:t>Drobné služby podle měnících se potřeb obyvatel.</w:t>
            </w:r>
          </w:p>
        </w:tc>
        <w:tc>
          <w:tcPr>
            <w:tcW w:w="4606" w:type="dxa"/>
            <w:shd w:val="clear" w:color="auto" w:fill="F2DBDB" w:themeFill="accent2" w:themeFillTint="33"/>
          </w:tcPr>
          <w:p w:rsidR="0017451E" w:rsidRDefault="0017451E" w:rsidP="00A60AC9">
            <w:pPr>
              <w:pStyle w:val="Odstavecseseznamem"/>
              <w:numPr>
                <w:ilvl w:val="0"/>
                <w:numId w:val="27"/>
              </w:numPr>
            </w:pPr>
            <w:r>
              <w:t>Odchody mladé a kvalifikované pracovní síly z regionu.</w:t>
            </w:r>
          </w:p>
          <w:p w:rsidR="0017451E" w:rsidRDefault="00FC2306" w:rsidP="00A60AC9">
            <w:pPr>
              <w:pStyle w:val="Odstavecseseznamem"/>
              <w:numPr>
                <w:ilvl w:val="0"/>
                <w:numId w:val="27"/>
              </w:numPr>
            </w:pPr>
            <w:r>
              <w:t>Zhoršující se m</w:t>
            </w:r>
            <w:r w:rsidR="0017451E">
              <w:t xml:space="preserve">orální a charakterové vlastnosti </w:t>
            </w:r>
            <w:r>
              <w:t xml:space="preserve">některých skupin </w:t>
            </w:r>
            <w:r w:rsidR="0017451E">
              <w:t>uchazečů o zaměstnání.</w:t>
            </w:r>
          </w:p>
        </w:tc>
      </w:tr>
    </w:tbl>
    <w:p w:rsidR="009E3B49" w:rsidRDefault="009E3B49" w:rsidP="0045071F">
      <w:pPr>
        <w:pStyle w:val="Analzatext"/>
        <w:rPr>
          <w:color w:val="000000"/>
          <w:lang w:eastAsia="cs-CZ"/>
        </w:rPr>
      </w:pPr>
    </w:p>
    <w:p w:rsidR="0017451E" w:rsidRPr="00777FA5" w:rsidRDefault="0017451E" w:rsidP="00A60AC9">
      <w:pPr>
        <w:pStyle w:val="Odstavecseseznamem"/>
        <w:numPr>
          <w:ilvl w:val="0"/>
          <w:numId w:val="27"/>
        </w:numPr>
      </w:pPr>
      <w:r w:rsidRPr="00777FA5">
        <w:t>V případech, kdy nabídka pracovní síly nekoresponduje s poptávkou nebo zaměstnavatelům nevyhovují některé jiné vlastnosti uchazečů</w:t>
      </w:r>
      <w:r w:rsidR="00777FA5">
        <w:t>,</w:t>
      </w:r>
      <w:r w:rsidRPr="00777FA5">
        <w:t xml:space="preserve"> se nabízí rekvalifikace uchazečů, kurzy chování v pracovním prostředí apod.</w:t>
      </w:r>
    </w:p>
    <w:p w:rsidR="0017451E" w:rsidRDefault="0017451E" w:rsidP="00A60AC9">
      <w:pPr>
        <w:pStyle w:val="Odstavecseseznamem"/>
        <w:numPr>
          <w:ilvl w:val="0"/>
          <w:numId w:val="27"/>
        </w:numPr>
      </w:pPr>
      <w:r>
        <w:t>Nízká poptávka v regionu je způsobena nízkou kupní silou obyvatelstva, které je velmi obtížně ovlivnitelná, neboť je záležitostí trhu. Pouze částečná kompenzace by byla možná využitím potenciálu cestovního ruchu díky propagaci.</w:t>
      </w:r>
    </w:p>
    <w:p w:rsidR="0017451E" w:rsidRDefault="0017451E" w:rsidP="00A60AC9">
      <w:pPr>
        <w:pStyle w:val="Odstavecseseznamem"/>
        <w:numPr>
          <w:ilvl w:val="1"/>
          <w:numId w:val="27"/>
        </w:numPr>
      </w:pPr>
      <w:r>
        <w:t>MAS ani jiný subjekt v regionu dosud nezastřešuje žádnou značku označující regionální produkty, což je jistou formou propagace. Kromě této cesty se nabízejí ještě další. Některou z nich bude MAS chtít do budoucna aplikovat.</w:t>
      </w:r>
    </w:p>
    <w:p w:rsidR="0017451E" w:rsidRDefault="0017451E" w:rsidP="00A60AC9">
      <w:pPr>
        <w:pStyle w:val="Odstavecseseznamem"/>
        <w:numPr>
          <w:ilvl w:val="0"/>
          <w:numId w:val="27"/>
        </w:numPr>
      </w:pPr>
      <w:r>
        <w:t>Odchody mladých a kvalifikovaných lidí do měst může částečně eliminovat zvyšováním prostředků kvality života v obcích, které jsou popsány v dalších částích tohoto dokumentu. Často ale je příčinou odchodu právě nemožnost pracovního uplatnění v regionu.</w:t>
      </w:r>
    </w:p>
    <w:p w:rsidR="0045071F" w:rsidRDefault="00EF093B" w:rsidP="00EF093B">
      <w:pPr>
        <w:pStyle w:val="Nadpis4"/>
        <w:rPr>
          <w:lang w:eastAsia="cs-CZ"/>
        </w:rPr>
      </w:pPr>
      <w:r>
        <w:rPr>
          <w:lang w:eastAsia="cs-CZ"/>
        </w:rPr>
        <w:t>Zaměstnanost</w:t>
      </w:r>
    </w:p>
    <w:p w:rsidR="00A427D4" w:rsidRDefault="00A427D4" w:rsidP="00AC5FA3">
      <w:r>
        <w:t xml:space="preserve">Z pohledu průměrné zaměstnanosti se region působnosti MAS Litomyšlsko řadí mezi regiony s nadprůměrnou zaměstnaností. Průměrná nezaměstnanost regionu činí 7,0 %, přičemž republikový průměr je 8,2 %. </w:t>
      </w:r>
    </w:p>
    <w:p w:rsidR="00A427D4" w:rsidRDefault="00A427D4" w:rsidP="00AC5FA3">
      <w:r>
        <w:t>Klíčovou roli v tomto hrají velcí průmysloví zaměstnavatelé ve větších městech a zemědělské subjekty ve venkovských oblastech regionu.</w:t>
      </w:r>
    </w:p>
    <w:p w:rsidR="003057EB" w:rsidRDefault="00A427D4" w:rsidP="00AC5FA3">
      <w:r>
        <w:lastRenderedPageBreak/>
        <w:t>V regionu se ale nezaměstnanost v jednotlivých obcích velmi liší a celkem 7 obcí přesahuje 10%nezaměstnanost (např. Nová Ves u Jarošova 17,5 %).</w:t>
      </w:r>
    </w:p>
    <w:p w:rsidR="003057EB" w:rsidRDefault="003057EB" w:rsidP="00AC5FA3">
      <w:r>
        <w:t xml:space="preserve">Co se struktury nezaměstnanosti týká, 29 % nezaměstnaných spadá do skupiny 50 a více let, téměř 14 % spadá do skupiny </w:t>
      </w:r>
      <w:r w:rsidR="00EE0FA6">
        <w:t>osob se zdravotním postižením (OZP)</w:t>
      </w:r>
      <w:r>
        <w:t xml:space="preserve"> a necelých 7 % nezaměstnaných jsou uchazeči z řad absolventů bez praxe. Téměř 21 % uchazečů patří do skupiny dlouhodobě nezaměstnaných, kteří jsou v evidenci úřadů práce déle než 24 měsíců. Pro srovnání v celé ČR tvoří podíl různých složek nezaměstnanosti necelých 28 % osoby ve věku 50+, více než 10 % osoby OZP, absolventi více než 4 % a necelých 23 % nezaměstnaných tvoří dlouhodobě nezaměstnaní.</w:t>
      </w:r>
    </w:p>
    <w:p w:rsidR="00A427D4" w:rsidRDefault="003057EB" w:rsidP="00AC5FA3">
      <w:r>
        <w:t>S výjimkou dlouhodobě nezaměstnaných tak zaujímají znevýhodněné skupiny obyvatel na celkové nezaměstnanosti podstatně vyšší podíl než je republikovým průměrem.</w:t>
      </w:r>
      <w:r w:rsidR="00A427D4">
        <w:rPr>
          <w:rStyle w:val="Znakapoznpodarou"/>
        </w:rPr>
        <w:footnoteReference w:id="34"/>
      </w:r>
    </w:p>
    <w:p w:rsidR="00A427D4" w:rsidRDefault="00A427D4" w:rsidP="00AC5FA3">
      <w:r>
        <w:t xml:space="preserve">Relativně pozitivní údaje z oblasti zaměstnanosti jsou vykoupeny nízkou úrovní mezd v </w:t>
      </w:r>
      <w:r w:rsidR="00073FB0">
        <w:t>kraji</w:t>
      </w:r>
      <w:r>
        <w:t xml:space="preserve">. </w:t>
      </w:r>
      <w:r w:rsidR="00073FB0">
        <w:t xml:space="preserve">Například v 1. čtvrtletí 2014 činila průměrná měsíční hrubá mzda v Pardubickém kraji </w:t>
      </w:r>
      <w:r w:rsidR="00073FB0" w:rsidRPr="00073FB0">
        <w:t>21</w:t>
      </w:r>
      <w:r w:rsidR="00073FB0">
        <w:t xml:space="preserve"> </w:t>
      </w:r>
      <w:r w:rsidR="00073FB0" w:rsidRPr="00073FB0">
        <w:t>801</w:t>
      </w:r>
      <w:r w:rsidR="00073FB0">
        <w:t xml:space="preserve"> Kč, přičemž nižší průměrná mzda byla jen ve třech dalších krajích (Olomoucký, Zlínský a Moravskoslezský). Republikový průměr přitom činí 24 806 Kč.</w:t>
      </w:r>
      <w:r w:rsidR="00073FB0">
        <w:rPr>
          <w:rStyle w:val="Znakapoznpodarou"/>
        </w:rPr>
        <w:footnoteReference w:id="35"/>
      </w:r>
    </w:p>
    <w:p w:rsidR="00A80F14" w:rsidRPr="00DE7FE2" w:rsidRDefault="00A80F14" w:rsidP="00A80F14">
      <w:pPr>
        <w:spacing w:before="120" w:after="120"/>
        <w:rPr>
          <w:rFonts w:ascii="Calibri" w:hAnsi="Calibri" w:cs="Calibri"/>
          <w:b/>
          <w:szCs w:val="22"/>
        </w:rPr>
      </w:pPr>
      <w:r w:rsidRPr="00DE7FE2">
        <w:rPr>
          <w:rFonts w:ascii="Calibri" w:hAnsi="Calibri" w:cs="Calibri"/>
          <w:b/>
          <w:szCs w:val="22"/>
        </w:rPr>
        <w:t>Porovnání profesí uchazečů a volných míst k 31. 3. 2014 v Pardubickém kraji</w:t>
      </w:r>
    </w:p>
    <w:tbl>
      <w:tblPr>
        <w:tblW w:w="0" w:type="auto"/>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left w:w="107" w:type="dxa"/>
        </w:tblCellMar>
        <w:tblLook w:val="04A0"/>
      </w:tblPr>
      <w:tblGrid>
        <w:gridCol w:w="1035"/>
        <w:gridCol w:w="5160"/>
        <w:gridCol w:w="885"/>
        <w:gridCol w:w="833"/>
        <w:gridCol w:w="1374"/>
      </w:tblGrid>
      <w:tr w:rsidR="00A80F14" w:rsidRPr="00DE7FE2" w:rsidTr="00DE7FE2">
        <w:trPr>
          <w:trHeight w:hRule="exact" w:val="490"/>
        </w:trPr>
        <w:tc>
          <w:tcPr>
            <w:tcW w:w="1098" w:type="dxa"/>
            <w:tcBorders>
              <w:top w:val="double" w:sz="4" w:space="0" w:color="00000A"/>
              <w:left w:val="double" w:sz="4" w:space="0" w:color="00000A"/>
              <w:bottom w:val="single" w:sz="4" w:space="0" w:color="00000A"/>
              <w:right w:val="single" w:sz="4" w:space="0" w:color="00000A"/>
            </w:tcBorders>
            <w:shd w:val="clear" w:color="auto" w:fill="D9D9D9"/>
            <w:tcMar>
              <w:left w:w="107" w:type="dxa"/>
            </w:tcMar>
            <w:vAlign w:val="center"/>
          </w:tcPr>
          <w:p w:rsidR="00A80F14" w:rsidRPr="00DE7FE2" w:rsidRDefault="00A80F14" w:rsidP="00A80F14">
            <w:pPr>
              <w:jc w:val="center"/>
              <w:rPr>
                <w:rFonts w:ascii="Calibri" w:eastAsia="Calibri" w:hAnsi="Calibri" w:cs="Arial"/>
                <w:b/>
                <w:bCs/>
                <w:sz w:val="18"/>
                <w:szCs w:val="18"/>
              </w:rPr>
            </w:pPr>
            <w:r w:rsidRPr="00DE7FE2">
              <w:rPr>
                <w:rFonts w:ascii="Calibri" w:eastAsia="Calibri" w:hAnsi="Calibri" w:cs="Arial"/>
                <w:b/>
                <w:bCs/>
                <w:sz w:val="18"/>
                <w:szCs w:val="18"/>
              </w:rPr>
              <w:t>CZ-ISCO</w:t>
            </w:r>
          </w:p>
        </w:tc>
        <w:tc>
          <w:tcPr>
            <w:tcW w:w="5640" w:type="dxa"/>
            <w:tcBorders>
              <w:top w:val="double" w:sz="4" w:space="0" w:color="00000A"/>
              <w:left w:val="single" w:sz="4" w:space="0" w:color="00000A"/>
              <w:bottom w:val="single" w:sz="4" w:space="0" w:color="00000A"/>
              <w:right w:val="single" w:sz="4" w:space="0" w:color="00000A"/>
            </w:tcBorders>
            <w:shd w:val="clear" w:color="auto" w:fill="D9D9D9"/>
            <w:tcMar>
              <w:left w:w="117" w:type="dxa"/>
            </w:tcMar>
            <w:vAlign w:val="center"/>
          </w:tcPr>
          <w:p w:rsidR="00A80F14" w:rsidRPr="00DE7FE2" w:rsidRDefault="00A80F14" w:rsidP="00A80F14">
            <w:pPr>
              <w:jc w:val="center"/>
              <w:rPr>
                <w:rFonts w:ascii="Calibri" w:eastAsia="Calibri" w:hAnsi="Calibri" w:cs="Arial"/>
                <w:b/>
                <w:bCs/>
                <w:sz w:val="18"/>
                <w:szCs w:val="18"/>
              </w:rPr>
            </w:pPr>
            <w:r w:rsidRPr="00DE7FE2">
              <w:rPr>
                <w:rFonts w:ascii="Calibri" w:eastAsia="Calibri" w:hAnsi="Calibri" w:cs="Arial"/>
                <w:b/>
                <w:bCs/>
                <w:sz w:val="18"/>
                <w:szCs w:val="18"/>
              </w:rPr>
              <w:t>Název profese</w:t>
            </w:r>
          </w:p>
        </w:tc>
        <w:tc>
          <w:tcPr>
            <w:tcW w:w="848" w:type="dxa"/>
            <w:tcBorders>
              <w:top w:val="double" w:sz="4" w:space="0" w:color="00000A"/>
              <w:left w:val="single" w:sz="4" w:space="0" w:color="00000A"/>
              <w:bottom w:val="single" w:sz="4" w:space="0" w:color="00000A"/>
              <w:right w:val="single" w:sz="4" w:space="0" w:color="00000A"/>
            </w:tcBorders>
            <w:shd w:val="clear" w:color="auto" w:fill="D9D9D9"/>
            <w:tcMar>
              <w:left w:w="117" w:type="dxa"/>
            </w:tcMar>
            <w:vAlign w:val="center"/>
          </w:tcPr>
          <w:p w:rsidR="00A80F14" w:rsidRPr="00DE7FE2" w:rsidRDefault="00DE7FE2" w:rsidP="00A80F14">
            <w:pPr>
              <w:jc w:val="center"/>
              <w:rPr>
                <w:rFonts w:ascii="Calibri" w:eastAsia="Calibri" w:hAnsi="Calibri" w:cs="Arial"/>
                <w:b/>
                <w:bCs/>
                <w:sz w:val="18"/>
                <w:szCs w:val="18"/>
              </w:rPr>
            </w:pPr>
            <w:r w:rsidRPr="00DE7FE2">
              <w:rPr>
                <w:rFonts w:ascii="Calibri" w:eastAsia="Calibri" w:hAnsi="Calibri" w:cs="Arial"/>
                <w:b/>
                <w:bCs/>
                <w:sz w:val="18"/>
                <w:szCs w:val="18"/>
              </w:rPr>
              <w:t>Uchazeči</w:t>
            </w:r>
          </w:p>
        </w:tc>
        <w:tc>
          <w:tcPr>
            <w:tcW w:w="850" w:type="dxa"/>
            <w:tcBorders>
              <w:top w:val="double" w:sz="4" w:space="0" w:color="00000A"/>
              <w:left w:val="single" w:sz="4" w:space="0" w:color="00000A"/>
              <w:bottom w:val="single" w:sz="4" w:space="0" w:color="00000A"/>
              <w:right w:val="single" w:sz="4" w:space="0" w:color="00000A"/>
            </w:tcBorders>
            <w:shd w:val="clear" w:color="auto" w:fill="D9D9D9"/>
            <w:tcMar>
              <w:left w:w="117" w:type="dxa"/>
            </w:tcMar>
            <w:vAlign w:val="center"/>
          </w:tcPr>
          <w:p w:rsidR="00A80F14" w:rsidRPr="00DE7FE2" w:rsidRDefault="00DE7FE2" w:rsidP="00A80F14">
            <w:pPr>
              <w:jc w:val="center"/>
              <w:rPr>
                <w:rFonts w:ascii="Calibri" w:eastAsia="Calibri" w:hAnsi="Calibri" w:cs="Calibri"/>
                <w:b/>
                <w:sz w:val="18"/>
                <w:szCs w:val="18"/>
              </w:rPr>
            </w:pPr>
            <w:r w:rsidRPr="00DE7FE2">
              <w:rPr>
                <w:rFonts w:ascii="Calibri" w:eastAsia="Calibri" w:hAnsi="Calibri" w:cs="Calibri"/>
                <w:b/>
                <w:sz w:val="18"/>
                <w:szCs w:val="18"/>
              </w:rPr>
              <w:t>Volná místa</w:t>
            </w:r>
          </w:p>
        </w:tc>
        <w:tc>
          <w:tcPr>
            <w:tcW w:w="851" w:type="dxa"/>
            <w:tcBorders>
              <w:top w:val="double" w:sz="4" w:space="0" w:color="00000A"/>
              <w:left w:val="single" w:sz="4" w:space="0" w:color="00000A"/>
              <w:bottom w:val="single" w:sz="4" w:space="0" w:color="00000A"/>
              <w:right w:val="double" w:sz="4" w:space="0" w:color="00000A"/>
            </w:tcBorders>
            <w:shd w:val="clear" w:color="auto" w:fill="D9D9D9"/>
            <w:tcMar>
              <w:left w:w="117" w:type="dxa"/>
            </w:tcMar>
            <w:vAlign w:val="center"/>
          </w:tcPr>
          <w:p w:rsidR="00A80F14" w:rsidRPr="00DE7FE2" w:rsidRDefault="00DE7FE2" w:rsidP="00DE7FE2">
            <w:pPr>
              <w:jc w:val="center"/>
              <w:rPr>
                <w:rFonts w:ascii="Calibri" w:eastAsia="Calibri" w:hAnsi="Calibri" w:cs="Calibri"/>
                <w:b/>
                <w:sz w:val="18"/>
                <w:szCs w:val="18"/>
              </w:rPr>
            </w:pPr>
            <w:r w:rsidRPr="00DE7FE2">
              <w:rPr>
                <w:rFonts w:ascii="Calibri" w:eastAsia="Calibri" w:hAnsi="Calibri" w:cs="Calibri"/>
                <w:b/>
                <w:sz w:val="18"/>
                <w:szCs w:val="18"/>
              </w:rPr>
              <w:t>Uchazeči/volná místa</w:t>
            </w:r>
          </w:p>
        </w:tc>
      </w:tr>
      <w:tr w:rsidR="00A80F14" w:rsidRPr="00DE7FE2" w:rsidTr="00A37722">
        <w:trPr>
          <w:trHeight w:hRule="exact" w:val="284"/>
        </w:trPr>
        <w:tc>
          <w:tcPr>
            <w:tcW w:w="9287" w:type="dxa"/>
            <w:gridSpan w:val="5"/>
            <w:tcBorders>
              <w:top w:val="single" w:sz="4" w:space="0" w:color="00000A"/>
              <w:left w:val="double" w:sz="4" w:space="0" w:color="00000A"/>
              <w:bottom w:val="single" w:sz="4" w:space="0" w:color="00000A"/>
              <w:right w:val="single" w:sz="4" w:space="0" w:color="00000A"/>
            </w:tcBorders>
            <w:shd w:val="clear" w:color="auto" w:fill="FFFFCC"/>
            <w:tcMar>
              <w:left w:w="107" w:type="dxa"/>
            </w:tcMar>
            <w:vAlign w:val="bottom"/>
          </w:tcPr>
          <w:p w:rsidR="00A80F14" w:rsidRPr="00DE7FE2" w:rsidRDefault="00A80F14" w:rsidP="00A80F14">
            <w:pPr>
              <w:ind w:right="175"/>
              <w:jc w:val="center"/>
              <w:rPr>
                <w:rFonts w:ascii="Calibri" w:eastAsia="Calibri" w:hAnsi="Calibri"/>
                <w:i/>
                <w:color w:val="000000"/>
                <w:szCs w:val="22"/>
              </w:rPr>
            </w:pPr>
            <w:r w:rsidRPr="00DE7FE2">
              <w:rPr>
                <w:rFonts w:ascii="Calibri" w:eastAsia="Calibri" w:hAnsi="Calibri"/>
                <w:i/>
                <w:color w:val="000000"/>
                <w:szCs w:val="22"/>
              </w:rPr>
              <w:t>Řazeno dle počtu uchazečů připadajících na 1 volné místo (převis nabídky nad poptávkou)</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D9D9D9"/>
            <w:tcMar>
              <w:left w:w="107" w:type="dxa"/>
            </w:tcMar>
            <w:vAlign w:val="bottom"/>
          </w:tcPr>
          <w:p w:rsidR="00A80F14" w:rsidRPr="00DE7FE2" w:rsidRDefault="00A80F14" w:rsidP="00A80F14">
            <w:pPr>
              <w:ind w:right="-533" w:firstLine="142"/>
              <w:rPr>
                <w:rFonts w:ascii="Calibri" w:eastAsia="Calibri" w:hAnsi="Calibri"/>
                <w:color w:val="000000"/>
                <w:szCs w:val="22"/>
              </w:rPr>
            </w:pPr>
          </w:p>
        </w:tc>
        <w:tc>
          <w:tcPr>
            <w:tcW w:w="5640"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rPr>
                <w:rFonts w:ascii="Calibri" w:eastAsia="Calibri" w:hAnsi="Calibri"/>
                <w:color w:val="000000"/>
                <w:szCs w:val="22"/>
              </w:rPr>
            </w:pPr>
            <w:r w:rsidRPr="00DE7FE2">
              <w:rPr>
                <w:rFonts w:ascii="Calibri" w:eastAsia="Calibri" w:hAnsi="Calibri"/>
                <w:color w:val="000000"/>
                <w:szCs w:val="22"/>
              </w:rPr>
              <w:t>Třída CZ – ISCO 1 - 8</w:t>
            </w:r>
          </w:p>
        </w:tc>
        <w:tc>
          <w:tcPr>
            <w:tcW w:w="848"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ind w:left="-532" w:right="174"/>
              <w:jc w:val="right"/>
              <w:rPr>
                <w:rFonts w:ascii="Calibri" w:eastAsia="Calibri" w:hAnsi="Calibri"/>
                <w:color w:val="000000"/>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ind w:left="-532" w:right="174"/>
              <w:jc w:val="right"/>
              <w:rPr>
                <w:rFonts w:ascii="Calibri" w:eastAsia="Calibri" w:hAnsi="Calibri"/>
                <w:color w:val="000000"/>
                <w:szCs w:val="22"/>
              </w:rPr>
            </w:pPr>
          </w:p>
        </w:tc>
        <w:tc>
          <w:tcPr>
            <w:tcW w:w="851" w:type="dxa"/>
            <w:tcBorders>
              <w:top w:val="single" w:sz="4" w:space="0" w:color="00000A"/>
              <w:left w:val="single" w:sz="4" w:space="0" w:color="00000A"/>
              <w:bottom w:val="single" w:sz="4" w:space="0" w:color="00000A"/>
              <w:right w:val="double" w:sz="4" w:space="0" w:color="00000A"/>
            </w:tcBorders>
            <w:shd w:val="clear" w:color="auto" w:fill="D9D9D9"/>
            <w:tcMar>
              <w:left w:w="117" w:type="dxa"/>
            </w:tcMar>
            <w:vAlign w:val="bottom"/>
          </w:tcPr>
          <w:p w:rsidR="00A80F14" w:rsidRPr="00DE7FE2" w:rsidRDefault="00A80F14" w:rsidP="00A80F14">
            <w:pPr>
              <w:ind w:left="-532" w:right="174"/>
              <w:jc w:val="right"/>
              <w:rPr>
                <w:rFonts w:ascii="Calibri" w:eastAsia="Calibri" w:hAnsi="Calibri"/>
                <w:color w:val="000000"/>
                <w:szCs w:val="22"/>
              </w:rPr>
            </w:pP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832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Řidiči motocyklů a automobilů (kromě nákladních)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567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284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514</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Kadeřníci, kosmetici a pracovníci v příbuzných oborech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277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92</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441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Ostatní úředníci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90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*90</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216</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Architekti, specialisté v oblasti územ. plánování, návrháři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*83</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731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Pracovníci v oblasti uměleckých a tradičních řemesel</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78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78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411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Všeobecní administrativní pracovníci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1689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23</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73</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233</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Učitelé na středních školách, konzervatořích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68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68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621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Kvalifikovaní pracovníci v lesnictví a příbuzných oblastech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*56</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264</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Spisovatelé, novináři a jazykovědci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265</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Výkonní umělci a příbuzní specialisté</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51</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lastRenderedPageBreak/>
              <w:t>213</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Specialisté v biologických a příbuzných oborech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49</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531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Pracovníci péče o děti, asistenti pedagogů</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*45</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732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Pracovníci polygrafie</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41</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711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Řemeslníci, kvalifikovaní pracovníci hlavní stavební výroby</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2050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52</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39</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611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Zahradníci a pěstitelé</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190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516</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Ostatní pracovníci v oblasti osobních služeb</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37</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522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Provozovatelé maloobchodních prodejen, prodavači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1908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52</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37</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713</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Malíři a pracovníci, pracovníci povrchového čištění budov</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209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6</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35</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712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Řemeslníci a kvalifikovaní pracovníci při dokončování staveb</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503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15</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252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Specialisté v oblasti databází a počítačových sítí</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31</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511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Obslužní pracovníci, průvodčí v osobní dopravě</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30</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532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Pracovníci osobní péče ve zdravotní a sociální oblasti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290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10</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29</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533" w:firstLine="142"/>
              <w:rPr>
                <w:rFonts w:ascii="Calibri" w:eastAsia="Calibri" w:hAnsi="Calibri"/>
                <w:color w:val="000000"/>
              </w:rPr>
            </w:pPr>
            <w:r w:rsidRPr="00DE7FE2">
              <w:rPr>
                <w:rFonts w:ascii="Calibri" w:eastAsia="Calibri" w:hAnsi="Calibri"/>
                <w:color w:val="000000"/>
                <w:sz w:val="20"/>
                <w:szCs w:val="20"/>
              </w:rPr>
              <w:t>515</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Provozní pracovníci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29</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D9D9D9"/>
            <w:tcMar>
              <w:left w:w="107" w:type="dxa"/>
            </w:tcMar>
            <w:vAlign w:val="bottom"/>
          </w:tcPr>
          <w:p w:rsidR="00A80F14" w:rsidRPr="00DE7FE2" w:rsidRDefault="00A80F14" w:rsidP="00A80F14">
            <w:pPr>
              <w:ind w:right="-249" w:firstLine="142"/>
              <w:rPr>
                <w:rFonts w:ascii="Calibri" w:eastAsia="Calibri" w:hAnsi="Calibri" w:cs="Calibri"/>
                <w:color w:val="000000"/>
                <w:szCs w:val="22"/>
              </w:rPr>
            </w:pPr>
          </w:p>
        </w:tc>
        <w:tc>
          <w:tcPr>
            <w:tcW w:w="5640"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rPr>
                <w:rFonts w:ascii="Calibri" w:eastAsia="Calibri" w:hAnsi="Calibri" w:cs="Calibri"/>
                <w:color w:val="000000"/>
                <w:szCs w:val="22"/>
              </w:rPr>
            </w:pPr>
            <w:r w:rsidRPr="00DE7FE2">
              <w:rPr>
                <w:rFonts w:ascii="Calibri" w:eastAsia="Calibri" w:hAnsi="Calibri" w:cs="Calibri"/>
                <w:color w:val="000000"/>
                <w:szCs w:val="22"/>
              </w:rPr>
              <w:t>Třída CZ – ISCO 9</w:t>
            </w:r>
          </w:p>
        </w:tc>
        <w:tc>
          <w:tcPr>
            <w:tcW w:w="848"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ind w:left="-390" w:right="174"/>
              <w:jc w:val="right"/>
              <w:rPr>
                <w:rFonts w:ascii="Calibri" w:eastAsia="Calibri" w:hAnsi="Calibri" w:cs="Calibri"/>
                <w:color w:val="000000"/>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A80F14" w:rsidRPr="00DE7FE2" w:rsidRDefault="00A80F14" w:rsidP="00A80F14">
            <w:pPr>
              <w:ind w:left="-390" w:right="174"/>
              <w:jc w:val="right"/>
              <w:rPr>
                <w:rFonts w:ascii="Calibri" w:eastAsia="Calibri" w:hAnsi="Calibri" w:cs="Calibri"/>
                <w:color w:val="000000"/>
                <w:szCs w:val="22"/>
              </w:rPr>
            </w:pPr>
          </w:p>
        </w:tc>
        <w:tc>
          <w:tcPr>
            <w:tcW w:w="851" w:type="dxa"/>
            <w:tcBorders>
              <w:top w:val="single" w:sz="4" w:space="0" w:color="00000A"/>
              <w:left w:val="single" w:sz="4" w:space="0" w:color="00000A"/>
              <w:bottom w:val="single" w:sz="4" w:space="0" w:color="00000A"/>
              <w:right w:val="double" w:sz="4" w:space="0" w:color="00000A"/>
            </w:tcBorders>
            <w:shd w:val="clear" w:color="auto" w:fill="D9D9D9"/>
            <w:tcMar>
              <w:left w:w="117" w:type="dxa"/>
            </w:tcMar>
            <w:vAlign w:val="bottom"/>
          </w:tcPr>
          <w:p w:rsidR="00A80F14" w:rsidRPr="00DE7FE2" w:rsidRDefault="00A80F14" w:rsidP="00A80F14">
            <w:pPr>
              <w:ind w:left="-390" w:right="174"/>
              <w:jc w:val="right"/>
              <w:rPr>
                <w:rFonts w:ascii="Calibri" w:eastAsia="Calibri" w:hAnsi="Calibri" w:cs="Calibri"/>
                <w:color w:val="000000"/>
                <w:szCs w:val="22"/>
              </w:rPr>
            </w:pP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s="Calibri"/>
                <w:color w:val="000000"/>
              </w:rPr>
            </w:pPr>
            <w:r w:rsidRPr="00DE7FE2">
              <w:rPr>
                <w:rFonts w:ascii="Calibri" w:eastAsia="Calibri" w:hAnsi="Calibri" w:cs="Calibri"/>
                <w:color w:val="000000"/>
                <w:sz w:val="20"/>
                <w:szCs w:val="20"/>
              </w:rPr>
              <w:t>9 . . .</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s="Calibri"/>
                <w:color w:val="000000"/>
              </w:rPr>
            </w:pPr>
            <w:r w:rsidRPr="00DE7FE2">
              <w:rPr>
                <w:rFonts w:ascii="Calibri" w:eastAsia="Calibri" w:hAnsi="Calibri" w:cs="Calibri"/>
                <w:color w:val="000000"/>
                <w:sz w:val="20"/>
                <w:szCs w:val="20"/>
              </w:rPr>
              <w:t>Pomocní a nekvalifikovaní pracovníci celkem</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s="Calibri"/>
                <w:color w:val="000000"/>
              </w:rPr>
            </w:pPr>
            <w:r w:rsidRPr="00DE7FE2">
              <w:rPr>
                <w:rFonts w:ascii="Calibri" w:eastAsia="Calibri" w:hAnsi="Calibri" w:cs="Calibri"/>
                <w:color w:val="000000"/>
                <w:sz w:val="20"/>
                <w:szCs w:val="20"/>
              </w:rPr>
              <w:t>7 109</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s="Calibri"/>
                <w:color w:val="000000"/>
              </w:rPr>
            </w:pPr>
            <w:r w:rsidRPr="00DE7FE2">
              <w:rPr>
                <w:rFonts w:ascii="Calibri" w:eastAsia="Calibri" w:hAnsi="Calibri" w:cs="Calibri"/>
                <w:color w:val="000000"/>
                <w:sz w:val="20"/>
                <w:szCs w:val="20"/>
              </w:rPr>
              <w:t>298</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s="Calibri"/>
                <w:color w:val="000000"/>
              </w:rPr>
            </w:pPr>
            <w:r w:rsidRPr="00DE7FE2">
              <w:rPr>
                <w:rFonts w:ascii="Calibri" w:eastAsia="Calibri" w:hAnsi="Calibri" w:cs="Calibri"/>
                <w:color w:val="000000"/>
                <w:sz w:val="20"/>
                <w:szCs w:val="20"/>
              </w:rPr>
              <w:t>24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s="Calibri"/>
                <w:color w:val="000000"/>
              </w:rPr>
            </w:pPr>
            <w:r w:rsidRPr="00DE7FE2">
              <w:rPr>
                <w:rFonts w:ascii="Calibri" w:eastAsia="Calibri" w:hAnsi="Calibri" w:cs="Calibri"/>
                <w:color w:val="000000"/>
                <w:sz w:val="20"/>
                <w:szCs w:val="20"/>
              </w:rPr>
              <w:t>Z toho:</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s="Calibri"/>
                <w:color w:val="000000"/>
                <w:szCs w:val="22"/>
              </w:rPr>
            </w:pP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szCs w:val="22"/>
              </w:rPr>
            </w:pP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szCs w:val="22"/>
              </w:rPr>
            </w:pP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961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Pracovníci s odpady</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olor w:val="000000"/>
              </w:rPr>
            </w:pPr>
            <w:r w:rsidRPr="00DE7FE2">
              <w:rPr>
                <w:rFonts w:ascii="Calibri" w:eastAsia="Calibri" w:hAnsi="Calibri"/>
                <w:color w:val="000000"/>
                <w:sz w:val="20"/>
                <w:szCs w:val="20"/>
              </w:rPr>
              <w:t>204</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olor w:val="000000"/>
              </w:rPr>
            </w:pPr>
            <w:r w:rsidRPr="00DE7FE2">
              <w:rPr>
                <w:rFonts w:ascii="Calibri" w:eastAsia="Calibri" w:hAnsi="Calibri"/>
                <w:color w:val="000000"/>
                <w:sz w:val="20"/>
                <w:szCs w:val="20"/>
              </w:rPr>
              <w:t>1</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rPr>
            </w:pPr>
            <w:r w:rsidRPr="00DE7FE2">
              <w:rPr>
                <w:rFonts w:ascii="Calibri" w:eastAsia="Calibri" w:hAnsi="Calibri" w:cs="Calibri"/>
                <w:color w:val="000000"/>
                <w:sz w:val="20"/>
                <w:szCs w:val="20"/>
              </w:rPr>
              <w:t>204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933</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Pomocní pracovníci v dopravě a skladování</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olor w:val="000000"/>
              </w:rPr>
            </w:pPr>
            <w:r w:rsidRPr="00DE7FE2">
              <w:rPr>
                <w:rFonts w:ascii="Calibri" w:eastAsia="Calibri" w:hAnsi="Calibri"/>
                <w:color w:val="000000"/>
                <w:sz w:val="20"/>
                <w:szCs w:val="20"/>
              </w:rPr>
              <w:t>337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olor w:val="000000"/>
              </w:rPr>
            </w:pPr>
            <w:r w:rsidRPr="00DE7FE2">
              <w:rPr>
                <w:rFonts w:ascii="Calibri" w:eastAsia="Calibri" w:hAnsi="Calibri"/>
                <w:color w:val="000000"/>
                <w:sz w:val="20"/>
                <w:szCs w:val="20"/>
              </w:rPr>
              <w:t>4</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rPr>
            </w:pPr>
            <w:r w:rsidRPr="00DE7FE2">
              <w:rPr>
                <w:rFonts w:ascii="Calibri" w:eastAsia="Calibri" w:hAnsi="Calibri" w:cs="Calibri"/>
                <w:color w:val="000000"/>
                <w:sz w:val="20"/>
                <w:szCs w:val="20"/>
              </w:rPr>
              <w:t>84</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932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Pomocní pracovníci ve výrobě</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olor w:val="000000"/>
              </w:rPr>
            </w:pPr>
            <w:r w:rsidRPr="00DE7FE2">
              <w:rPr>
                <w:rFonts w:ascii="Calibri" w:eastAsia="Calibri" w:hAnsi="Calibri"/>
                <w:color w:val="000000"/>
                <w:sz w:val="20"/>
                <w:szCs w:val="20"/>
              </w:rPr>
              <w:t>1 663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olor w:val="000000"/>
              </w:rPr>
            </w:pPr>
            <w:r w:rsidRPr="00DE7FE2">
              <w:rPr>
                <w:rFonts w:ascii="Calibri" w:eastAsia="Calibri" w:hAnsi="Calibri"/>
                <w:color w:val="000000"/>
                <w:sz w:val="20"/>
                <w:szCs w:val="20"/>
              </w:rPr>
              <w:t>44</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rPr>
            </w:pPr>
            <w:r w:rsidRPr="00DE7FE2">
              <w:rPr>
                <w:rFonts w:ascii="Calibri" w:eastAsia="Calibri" w:hAnsi="Calibri" w:cs="Calibri"/>
                <w:color w:val="000000"/>
                <w:sz w:val="20"/>
                <w:szCs w:val="20"/>
              </w:rPr>
              <w:t>38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911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Uklízeči a pomocníci v domácnostech, kancelářích, hotelích</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olor w:val="000000"/>
              </w:rPr>
            </w:pPr>
            <w:r w:rsidRPr="00DE7FE2">
              <w:rPr>
                <w:rFonts w:ascii="Calibri" w:eastAsia="Calibri" w:hAnsi="Calibri"/>
                <w:color w:val="000000"/>
                <w:sz w:val="20"/>
                <w:szCs w:val="20"/>
              </w:rPr>
              <w:t>810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olor w:val="000000"/>
              </w:rPr>
            </w:pPr>
            <w:r w:rsidRPr="00DE7FE2">
              <w:rPr>
                <w:rFonts w:ascii="Calibri" w:eastAsia="Calibri" w:hAnsi="Calibri"/>
                <w:color w:val="000000"/>
                <w:sz w:val="20"/>
                <w:szCs w:val="20"/>
              </w:rPr>
              <w:t>35</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rPr>
            </w:pPr>
            <w:r w:rsidRPr="00DE7FE2">
              <w:rPr>
                <w:rFonts w:ascii="Calibri" w:eastAsia="Calibri" w:hAnsi="Calibri" w:cs="Calibri"/>
                <w:color w:val="000000"/>
                <w:sz w:val="20"/>
                <w:szCs w:val="20"/>
              </w:rPr>
              <w:t>23</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962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Ostatní pomocní pracovníci</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390" w:right="174"/>
              <w:jc w:val="right"/>
              <w:rPr>
                <w:rFonts w:ascii="Calibri" w:eastAsia="Calibri" w:hAnsi="Calibri"/>
                <w:color w:val="000000"/>
              </w:rPr>
            </w:pPr>
            <w:r w:rsidRPr="00DE7FE2">
              <w:rPr>
                <w:rFonts w:ascii="Calibri" w:eastAsia="Calibri" w:hAnsi="Calibri"/>
                <w:color w:val="000000"/>
                <w:sz w:val="20"/>
                <w:szCs w:val="20"/>
              </w:rPr>
              <w:t>205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right="174"/>
              <w:jc w:val="right"/>
              <w:rPr>
                <w:rFonts w:ascii="Calibri" w:eastAsia="Calibri" w:hAnsi="Calibri"/>
                <w:color w:val="000000"/>
              </w:rPr>
            </w:pPr>
            <w:r w:rsidRPr="00DE7FE2">
              <w:rPr>
                <w:rFonts w:ascii="Calibri" w:eastAsia="Calibri" w:hAnsi="Calibri"/>
                <w:color w:val="000000"/>
                <w:sz w:val="20"/>
                <w:szCs w:val="20"/>
              </w:rPr>
              <w:t>9</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673" w:right="174"/>
              <w:jc w:val="right"/>
              <w:rPr>
                <w:rFonts w:ascii="Calibri" w:eastAsia="Calibri" w:hAnsi="Calibri" w:cs="Calibri"/>
                <w:color w:val="000000"/>
              </w:rPr>
            </w:pPr>
            <w:r w:rsidRPr="00DE7FE2">
              <w:rPr>
                <w:rFonts w:ascii="Calibri" w:eastAsia="Calibri" w:hAnsi="Calibri" w:cs="Calibri"/>
                <w:color w:val="000000"/>
                <w:sz w:val="20"/>
                <w:szCs w:val="20"/>
              </w:rPr>
              <w:t>23</w:t>
            </w:r>
          </w:p>
        </w:tc>
      </w:tr>
      <w:tr w:rsidR="00A80F14" w:rsidRPr="00DE7FE2" w:rsidTr="00A37722">
        <w:trPr>
          <w:trHeight w:hRule="exact" w:val="284"/>
        </w:trPr>
        <w:tc>
          <w:tcPr>
            <w:tcW w:w="9287" w:type="dxa"/>
            <w:gridSpan w:val="5"/>
            <w:tcBorders>
              <w:top w:val="single" w:sz="4" w:space="0" w:color="00000A"/>
              <w:left w:val="double" w:sz="4" w:space="0" w:color="00000A"/>
              <w:bottom w:val="single" w:sz="4" w:space="0" w:color="00000A"/>
              <w:right w:val="single" w:sz="4" w:space="0" w:color="00000A"/>
            </w:tcBorders>
            <w:shd w:val="clear" w:color="auto" w:fill="FFFFCC"/>
            <w:tcMar>
              <w:left w:w="107" w:type="dxa"/>
            </w:tcMar>
          </w:tcPr>
          <w:p w:rsidR="00A80F14" w:rsidRPr="00DE7FE2" w:rsidRDefault="00A80F14" w:rsidP="00A80F14">
            <w:pPr>
              <w:jc w:val="center"/>
              <w:rPr>
                <w:rFonts w:ascii="Calibri" w:eastAsia="Calibri" w:hAnsi="Calibri"/>
                <w:i/>
                <w:szCs w:val="22"/>
              </w:rPr>
            </w:pPr>
            <w:r w:rsidRPr="00DE7FE2">
              <w:rPr>
                <w:rFonts w:ascii="Calibri" w:eastAsia="Calibri" w:hAnsi="Calibri"/>
                <w:i/>
                <w:szCs w:val="22"/>
              </w:rPr>
              <w:t>Řazeno dle počtu volných míst připadajících na 1 uchazeče (převis poptávky nad nabídkou)</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112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Nejvyšší představitelé společností a institucí</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221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Lékaři (kromě zubních lékařů)</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16</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8</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242</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Specialisté v oblasti strategie a personálního řízení</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17</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243</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Specialisté v oblasti prodeje, marketingu, styku s veřejn.</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38</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114</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3</w:t>
            </w:r>
          </w:p>
        </w:tc>
      </w:tr>
      <w:tr w:rsidR="00A80F14" w:rsidRPr="00DE7FE2" w:rsidTr="00A37722">
        <w:trPr>
          <w:trHeight w:hRule="exact" w:val="284"/>
        </w:trPr>
        <w:tc>
          <w:tcPr>
            <w:tcW w:w="1098" w:type="dxa"/>
            <w:tcBorders>
              <w:top w:val="single" w:sz="4" w:space="0" w:color="00000A"/>
              <w:left w:val="double" w:sz="4" w:space="0" w:color="00000A"/>
              <w:bottom w:val="sing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241</w:t>
            </w:r>
          </w:p>
        </w:tc>
        <w:tc>
          <w:tcPr>
            <w:tcW w:w="564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Specialisté v oblasti financí</w:t>
            </w:r>
          </w:p>
        </w:tc>
        <w:tc>
          <w:tcPr>
            <w:tcW w:w="848"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51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72</w:t>
            </w:r>
          </w:p>
        </w:tc>
        <w:tc>
          <w:tcPr>
            <w:tcW w:w="851" w:type="dxa"/>
            <w:tcBorders>
              <w:top w:val="single" w:sz="4" w:space="0" w:color="00000A"/>
              <w:left w:val="single" w:sz="4" w:space="0" w:color="00000A"/>
              <w:bottom w:val="sing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r>
      <w:tr w:rsidR="00A80F14" w:rsidRPr="00DE7FE2" w:rsidTr="00A37722">
        <w:trPr>
          <w:trHeight w:hRule="exact" w:val="284"/>
        </w:trPr>
        <w:tc>
          <w:tcPr>
            <w:tcW w:w="1098" w:type="dxa"/>
            <w:tcBorders>
              <w:top w:val="single" w:sz="4" w:space="0" w:color="00000A"/>
              <w:left w:val="double" w:sz="4" w:space="0" w:color="00000A"/>
              <w:bottom w:val="double" w:sz="4" w:space="0" w:color="00000A"/>
              <w:right w:val="single" w:sz="4" w:space="0" w:color="00000A"/>
            </w:tcBorders>
            <w:shd w:val="clear" w:color="auto" w:fill="auto"/>
            <w:tcMar>
              <w:left w:w="107" w:type="dxa"/>
            </w:tcMar>
            <w:vAlign w:val="bottom"/>
          </w:tcPr>
          <w:p w:rsidR="00A80F14" w:rsidRPr="00DE7FE2" w:rsidRDefault="00A80F14" w:rsidP="00A80F14">
            <w:pPr>
              <w:ind w:right="-249" w:firstLine="142"/>
              <w:rPr>
                <w:rFonts w:ascii="Calibri" w:eastAsia="Calibri" w:hAnsi="Calibri"/>
                <w:color w:val="000000"/>
              </w:rPr>
            </w:pPr>
            <w:r w:rsidRPr="00DE7FE2">
              <w:rPr>
                <w:rFonts w:ascii="Calibri" w:eastAsia="Calibri" w:hAnsi="Calibri"/>
                <w:color w:val="000000"/>
                <w:sz w:val="20"/>
                <w:szCs w:val="20"/>
              </w:rPr>
              <w:t>742</w:t>
            </w:r>
          </w:p>
        </w:tc>
        <w:tc>
          <w:tcPr>
            <w:tcW w:w="5640" w:type="dxa"/>
            <w:tcBorders>
              <w:top w:val="single" w:sz="4" w:space="0" w:color="00000A"/>
              <w:left w:val="single" w:sz="4" w:space="0" w:color="00000A"/>
              <w:bottom w:val="double" w:sz="4" w:space="0" w:color="00000A"/>
              <w:right w:val="single" w:sz="4" w:space="0" w:color="00000A"/>
            </w:tcBorders>
            <w:shd w:val="clear" w:color="auto" w:fill="auto"/>
            <w:tcMar>
              <w:left w:w="117" w:type="dxa"/>
            </w:tcMar>
            <w:vAlign w:val="bottom"/>
          </w:tcPr>
          <w:p w:rsidR="00A80F14" w:rsidRPr="00DE7FE2" w:rsidRDefault="00A80F14" w:rsidP="00A80F14">
            <w:pPr>
              <w:rPr>
                <w:rFonts w:ascii="Calibri" w:eastAsia="Calibri" w:hAnsi="Calibri"/>
                <w:color w:val="000000"/>
              </w:rPr>
            </w:pPr>
            <w:r w:rsidRPr="00DE7FE2">
              <w:rPr>
                <w:rFonts w:ascii="Calibri" w:eastAsia="Calibri" w:hAnsi="Calibri"/>
                <w:color w:val="000000"/>
                <w:sz w:val="20"/>
                <w:szCs w:val="20"/>
              </w:rPr>
              <w:t>Mechanici a opraváři elektronických přístrojů</w:t>
            </w:r>
          </w:p>
        </w:tc>
        <w:tc>
          <w:tcPr>
            <w:tcW w:w="848" w:type="dxa"/>
            <w:tcBorders>
              <w:top w:val="single" w:sz="4" w:space="0" w:color="00000A"/>
              <w:left w:val="single" w:sz="4" w:space="0" w:color="00000A"/>
              <w:bottom w:val="doub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15</w:t>
            </w:r>
          </w:p>
        </w:tc>
        <w:tc>
          <w:tcPr>
            <w:tcW w:w="850" w:type="dxa"/>
            <w:tcBorders>
              <w:top w:val="single" w:sz="4" w:space="0" w:color="00000A"/>
              <w:left w:val="single" w:sz="4" w:space="0" w:color="00000A"/>
              <w:bottom w:val="double" w:sz="4" w:space="0" w:color="00000A"/>
              <w:right w:val="sing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21</w:t>
            </w:r>
          </w:p>
        </w:tc>
        <w:tc>
          <w:tcPr>
            <w:tcW w:w="851" w:type="dxa"/>
            <w:tcBorders>
              <w:top w:val="single" w:sz="4" w:space="0" w:color="00000A"/>
              <w:left w:val="single" w:sz="4" w:space="0" w:color="00000A"/>
              <w:bottom w:val="double" w:sz="4" w:space="0" w:color="00000A"/>
              <w:right w:val="double" w:sz="4" w:space="0" w:color="00000A"/>
            </w:tcBorders>
            <w:shd w:val="clear" w:color="auto" w:fill="auto"/>
            <w:tcMar>
              <w:left w:w="117" w:type="dxa"/>
            </w:tcMar>
            <w:vAlign w:val="bottom"/>
          </w:tcPr>
          <w:p w:rsidR="00A80F14" w:rsidRPr="00DE7FE2" w:rsidRDefault="00A80F14" w:rsidP="00A80F14">
            <w:pPr>
              <w:ind w:left="-532" w:right="174"/>
              <w:jc w:val="right"/>
              <w:rPr>
                <w:rFonts w:ascii="Calibri" w:eastAsia="Calibri" w:hAnsi="Calibri"/>
                <w:color w:val="000000"/>
              </w:rPr>
            </w:pPr>
            <w:r w:rsidRPr="00DE7FE2">
              <w:rPr>
                <w:rFonts w:ascii="Calibri" w:eastAsia="Calibri" w:hAnsi="Calibri"/>
                <w:color w:val="000000"/>
                <w:sz w:val="20"/>
                <w:szCs w:val="20"/>
              </w:rPr>
              <w:t>1</w:t>
            </w:r>
          </w:p>
        </w:tc>
      </w:tr>
    </w:tbl>
    <w:p w:rsidR="00A80F14" w:rsidRPr="00DE7FE2" w:rsidRDefault="00A80F14" w:rsidP="00A80F14">
      <w:r w:rsidRPr="00DE7FE2">
        <w:t>Zdroj: Situace na trhu práce v prvním čtvrtletí roku 2014</w:t>
      </w:r>
      <w:r w:rsidR="002A29B1" w:rsidRPr="00DE7FE2">
        <w:t>, Úřad práce v Pardubickém kraji</w:t>
      </w:r>
    </w:p>
    <w:p w:rsidR="002A29B1" w:rsidRPr="00DE7FE2" w:rsidRDefault="002F6BF1" w:rsidP="00A80F14">
      <w:r w:rsidRPr="00DE7FE2">
        <w:t xml:space="preserve">Výše uvedená tabulka zobrazuje celkovou situaci nezaměstnanosti v Pardubickém kraji podle oborů uchazečů a volných pracovních míst. </w:t>
      </w:r>
    </w:p>
    <w:p w:rsidR="002F6BF1" w:rsidRPr="00DE7FE2" w:rsidRDefault="002F6BF1" w:rsidP="00A80F14">
      <w:r w:rsidRPr="00DE7FE2">
        <w:t>Tabulka níže pak zobrazuje situaci v</w:t>
      </w:r>
      <w:r w:rsidR="00DE7FE2" w:rsidRPr="00DE7FE2">
        <w:t xml:space="preserve"> jednotlivých obcích</w:t>
      </w:r>
      <w:r w:rsidRPr="00DE7FE2">
        <w:t xml:space="preserve"> regionu MAS Litomyšlsko.</w:t>
      </w:r>
    </w:p>
    <w:tbl>
      <w:tblPr>
        <w:tblW w:w="8380" w:type="dxa"/>
        <w:tblInd w:w="55" w:type="dxa"/>
        <w:tblCellMar>
          <w:left w:w="70" w:type="dxa"/>
          <w:right w:w="70" w:type="dxa"/>
        </w:tblCellMar>
        <w:tblLook w:val="04A0"/>
      </w:tblPr>
      <w:tblGrid>
        <w:gridCol w:w="2080"/>
        <w:gridCol w:w="700"/>
        <w:gridCol w:w="600"/>
        <w:gridCol w:w="600"/>
        <w:gridCol w:w="700"/>
        <w:gridCol w:w="600"/>
        <w:gridCol w:w="600"/>
        <w:gridCol w:w="700"/>
        <w:gridCol w:w="600"/>
        <w:gridCol w:w="600"/>
        <w:gridCol w:w="600"/>
      </w:tblGrid>
      <w:tr w:rsidR="005924CF" w:rsidRPr="005924CF" w:rsidTr="005924CF">
        <w:trPr>
          <w:trHeight w:val="495"/>
        </w:trPr>
        <w:tc>
          <w:tcPr>
            <w:tcW w:w="2080" w:type="dxa"/>
            <w:vMerge w:val="restart"/>
            <w:tcBorders>
              <w:top w:val="nil"/>
              <w:left w:val="nil"/>
              <w:bottom w:val="nil"/>
              <w:right w:val="nil"/>
            </w:tcBorders>
            <w:shd w:val="clear" w:color="000000" w:fill="0F253F"/>
            <w:vAlign w:val="center"/>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OBEC</w:t>
            </w:r>
          </w:p>
        </w:tc>
        <w:tc>
          <w:tcPr>
            <w:tcW w:w="1900" w:type="dxa"/>
            <w:gridSpan w:val="3"/>
            <w:tcBorders>
              <w:top w:val="nil"/>
              <w:left w:val="nil"/>
              <w:bottom w:val="nil"/>
              <w:right w:val="nil"/>
            </w:tcBorders>
            <w:shd w:val="clear" w:color="000000" w:fill="254061"/>
            <w:vAlign w:val="center"/>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Počet obyvatel (15 - 64 let)</w:t>
            </w:r>
          </w:p>
        </w:tc>
        <w:tc>
          <w:tcPr>
            <w:tcW w:w="1900" w:type="dxa"/>
            <w:gridSpan w:val="3"/>
            <w:tcBorders>
              <w:top w:val="nil"/>
              <w:left w:val="nil"/>
              <w:bottom w:val="nil"/>
              <w:right w:val="nil"/>
            </w:tcBorders>
            <w:shd w:val="clear" w:color="000000" w:fill="974807"/>
            <w:vAlign w:val="center"/>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Uchazeči o zaměstnání</w:t>
            </w:r>
          </w:p>
        </w:tc>
        <w:tc>
          <w:tcPr>
            <w:tcW w:w="1900" w:type="dxa"/>
            <w:gridSpan w:val="3"/>
            <w:tcBorders>
              <w:top w:val="nil"/>
              <w:left w:val="nil"/>
              <w:bottom w:val="nil"/>
              <w:right w:val="nil"/>
            </w:tcBorders>
            <w:shd w:val="clear" w:color="000000" w:fill="632523"/>
            <w:vAlign w:val="center"/>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Podíl nezaměstnaných obyvatel (PNO) v %</w:t>
            </w:r>
          </w:p>
        </w:tc>
        <w:tc>
          <w:tcPr>
            <w:tcW w:w="600" w:type="dxa"/>
            <w:vMerge w:val="restart"/>
            <w:tcBorders>
              <w:top w:val="nil"/>
              <w:left w:val="nil"/>
              <w:bottom w:val="nil"/>
              <w:right w:val="nil"/>
            </w:tcBorders>
            <w:shd w:val="clear" w:color="000000" w:fill="1F497D"/>
            <w:vAlign w:val="center"/>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Volná místa</w:t>
            </w:r>
          </w:p>
        </w:tc>
      </w:tr>
      <w:tr w:rsidR="005924CF" w:rsidRPr="005924CF" w:rsidTr="005924CF">
        <w:trPr>
          <w:trHeight w:val="300"/>
        </w:trPr>
        <w:tc>
          <w:tcPr>
            <w:tcW w:w="2080" w:type="dxa"/>
            <w:vMerge/>
            <w:tcBorders>
              <w:top w:val="nil"/>
              <w:left w:val="nil"/>
              <w:bottom w:val="nil"/>
              <w:right w:val="nil"/>
            </w:tcBorders>
            <w:vAlign w:val="center"/>
            <w:hideMark/>
          </w:tcPr>
          <w:p w:rsidR="005924CF" w:rsidRPr="005924CF" w:rsidRDefault="005924CF" w:rsidP="005924CF">
            <w:pPr>
              <w:suppressAutoHyphens w:val="0"/>
              <w:spacing w:after="0"/>
              <w:jc w:val="left"/>
              <w:rPr>
                <w:rFonts w:ascii="Calibri" w:hAnsi="Calibri" w:cs="Calibri"/>
                <w:b/>
                <w:bCs/>
                <w:color w:val="FFFFFF"/>
                <w:sz w:val="18"/>
                <w:szCs w:val="18"/>
                <w:lang w:eastAsia="cs-CZ"/>
              </w:rPr>
            </w:pPr>
          </w:p>
        </w:tc>
        <w:tc>
          <w:tcPr>
            <w:tcW w:w="700" w:type="dxa"/>
            <w:tcBorders>
              <w:top w:val="nil"/>
              <w:left w:val="nil"/>
              <w:bottom w:val="nil"/>
              <w:right w:val="nil"/>
            </w:tcBorders>
            <w:shd w:val="clear" w:color="000000" w:fill="254061"/>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celkem</w:t>
            </w:r>
          </w:p>
        </w:tc>
        <w:tc>
          <w:tcPr>
            <w:tcW w:w="600" w:type="dxa"/>
            <w:tcBorders>
              <w:top w:val="nil"/>
              <w:left w:val="nil"/>
              <w:bottom w:val="nil"/>
              <w:right w:val="nil"/>
            </w:tcBorders>
            <w:shd w:val="clear" w:color="000000" w:fill="376091"/>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ženy</w:t>
            </w:r>
          </w:p>
        </w:tc>
        <w:tc>
          <w:tcPr>
            <w:tcW w:w="600" w:type="dxa"/>
            <w:tcBorders>
              <w:top w:val="nil"/>
              <w:left w:val="nil"/>
              <w:bottom w:val="nil"/>
              <w:right w:val="nil"/>
            </w:tcBorders>
            <w:shd w:val="clear" w:color="000000" w:fill="376091"/>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muži</w:t>
            </w:r>
          </w:p>
        </w:tc>
        <w:tc>
          <w:tcPr>
            <w:tcW w:w="700" w:type="dxa"/>
            <w:tcBorders>
              <w:top w:val="nil"/>
              <w:left w:val="nil"/>
              <w:bottom w:val="nil"/>
              <w:right w:val="nil"/>
            </w:tcBorders>
            <w:shd w:val="clear" w:color="000000" w:fill="974807"/>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celkem</w:t>
            </w:r>
          </w:p>
        </w:tc>
        <w:tc>
          <w:tcPr>
            <w:tcW w:w="600" w:type="dxa"/>
            <w:tcBorders>
              <w:top w:val="nil"/>
              <w:left w:val="nil"/>
              <w:bottom w:val="nil"/>
              <w:right w:val="nil"/>
            </w:tcBorders>
            <w:shd w:val="clear" w:color="000000" w:fill="E46D0A"/>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ženy</w:t>
            </w:r>
          </w:p>
        </w:tc>
        <w:tc>
          <w:tcPr>
            <w:tcW w:w="600" w:type="dxa"/>
            <w:tcBorders>
              <w:top w:val="nil"/>
              <w:left w:val="nil"/>
              <w:bottom w:val="nil"/>
              <w:right w:val="nil"/>
            </w:tcBorders>
            <w:shd w:val="clear" w:color="000000" w:fill="E46D0A"/>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muži</w:t>
            </w:r>
          </w:p>
        </w:tc>
        <w:tc>
          <w:tcPr>
            <w:tcW w:w="700" w:type="dxa"/>
            <w:tcBorders>
              <w:top w:val="nil"/>
              <w:left w:val="nil"/>
              <w:bottom w:val="nil"/>
              <w:right w:val="nil"/>
            </w:tcBorders>
            <w:shd w:val="clear" w:color="000000" w:fill="632523"/>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celkem</w:t>
            </w:r>
          </w:p>
        </w:tc>
        <w:tc>
          <w:tcPr>
            <w:tcW w:w="600" w:type="dxa"/>
            <w:tcBorders>
              <w:top w:val="nil"/>
              <w:left w:val="nil"/>
              <w:bottom w:val="nil"/>
              <w:right w:val="nil"/>
            </w:tcBorders>
            <w:shd w:val="clear" w:color="000000" w:fill="953735"/>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ženy</w:t>
            </w:r>
          </w:p>
        </w:tc>
        <w:tc>
          <w:tcPr>
            <w:tcW w:w="600" w:type="dxa"/>
            <w:tcBorders>
              <w:top w:val="nil"/>
              <w:left w:val="nil"/>
              <w:bottom w:val="nil"/>
              <w:right w:val="nil"/>
            </w:tcBorders>
            <w:shd w:val="clear" w:color="000000" w:fill="953735"/>
            <w:vAlign w:val="bottom"/>
            <w:hideMark/>
          </w:tcPr>
          <w:p w:rsidR="005924CF" w:rsidRPr="005924CF" w:rsidRDefault="005924CF" w:rsidP="005924CF">
            <w:pPr>
              <w:suppressAutoHyphens w:val="0"/>
              <w:spacing w:after="0"/>
              <w:jc w:val="center"/>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muži</w:t>
            </w:r>
          </w:p>
        </w:tc>
        <w:tc>
          <w:tcPr>
            <w:tcW w:w="600" w:type="dxa"/>
            <w:vMerge/>
            <w:tcBorders>
              <w:top w:val="nil"/>
              <w:left w:val="nil"/>
              <w:bottom w:val="nil"/>
              <w:right w:val="nil"/>
            </w:tcBorders>
            <w:vAlign w:val="center"/>
            <w:hideMark/>
          </w:tcPr>
          <w:p w:rsidR="005924CF" w:rsidRPr="005924CF" w:rsidRDefault="005924CF" w:rsidP="005924CF">
            <w:pPr>
              <w:suppressAutoHyphens w:val="0"/>
              <w:spacing w:after="0"/>
              <w:jc w:val="left"/>
              <w:rPr>
                <w:rFonts w:ascii="Calibri" w:hAnsi="Calibri" w:cs="Calibri"/>
                <w:b/>
                <w:bCs/>
                <w:color w:val="FFFFFF"/>
                <w:sz w:val="18"/>
                <w:szCs w:val="18"/>
                <w:lang w:eastAsia="cs-CZ"/>
              </w:rPr>
            </w:pP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Benátky</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259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5,7</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Bohuňovice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Bor u Skutče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Bučina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67</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Budislav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Cerekvice nad Loučnou</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306</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České Heřmanice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378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183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Čistá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326</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35</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10,7</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Desná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219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lastRenderedPageBreak/>
              <w:t>Dolní Újezd</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1369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700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59</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8,4</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Hluboká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Horky</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38</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7,9</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Horní Újezd</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269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139</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Hrušová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Chmelík</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10,7</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Chotěnov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44</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Chotovice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Janov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679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49</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Jarošov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4,8</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Javorník</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97</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Leština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Libecina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18,9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Litomyšl</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6922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3482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3440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446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208</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Lubná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680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329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351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25</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Makov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Morašice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495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240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255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4,7</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Němčice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313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349</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Nová Sídla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Nová Ves u Jarošova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Nové Hrady</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213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116</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7,8</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Osík</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721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381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5,8</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Otradov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104</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14,4</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Perálec</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Poříčí u Litomyšle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313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Proseč</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1439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696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743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88</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7,8</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Příluka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59</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Pustina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Řídký</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Sebranice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314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338</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Sedliště</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86</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Sloupnice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1106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528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578</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60</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10,4</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Strakov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77</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10,4</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Suchá Lhota</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Tisová</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378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188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190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5,3</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Trstěnice</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348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168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180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7,2</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Tržek</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48</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59</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Újezdec</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27</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10,5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14,8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6,7</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Vidlatá Seč</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204</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Vlčkov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42</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6,7</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9,5</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Vračovice-Orlov</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7,1</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Vysoké Mýto</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8446</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4191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4255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544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264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280</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6,4</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6,3</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6,6</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Zádolí</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29</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33</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2</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4,8</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3,5</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6,1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8DB4E3"/>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Zálší</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171</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80</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91</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13</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7,6</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5,0</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9,9</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0</w:t>
            </w:r>
          </w:p>
        </w:tc>
      </w:tr>
      <w:tr w:rsidR="005924CF" w:rsidRPr="005924CF" w:rsidTr="005924CF">
        <w:trPr>
          <w:trHeight w:val="240"/>
        </w:trPr>
        <w:tc>
          <w:tcPr>
            <w:tcW w:w="208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ind w:firstLineChars="100" w:firstLine="180"/>
              <w:jc w:val="left"/>
              <w:rPr>
                <w:rFonts w:ascii="Calibri" w:hAnsi="Calibri" w:cs="Calibri"/>
                <w:color w:val="000000"/>
                <w:sz w:val="18"/>
                <w:szCs w:val="18"/>
                <w:lang w:eastAsia="cs-CZ"/>
              </w:rPr>
            </w:pPr>
            <w:r w:rsidRPr="005924CF">
              <w:rPr>
                <w:rFonts w:ascii="Calibri" w:hAnsi="Calibri" w:cs="Calibri"/>
                <w:color w:val="000000"/>
                <w:sz w:val="18"/>
                <w:szCs w:val="18"/>
                <w:lang w:eastAsia="cs-CZ"/>
              </w:rPr>
              <w:t>Zderaz</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182</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85</w:t>
            </w:r>
          </w:p>
        </w:tc>
        <w:tc>
          <w:tcPr>
            <w:tcW w:w="600" w:type="dxa"/>
            <w:tcBorders>
              <w:top w:val="nil"/>
              <w:left w:val="nil"/>
              <w:bottom w:val="nil"/>
              <w:right w:val="nil"/>
            </w:tcBorders>
            <w:shd w:val="clear" w:color="000000" w:fill="DBE5F1"/>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97</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15</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11</w:t>
            </w:r>
          </w:p>
        </w:tc>
        <w:tc>
          <w:tcPr>
            <w:tcW w:w="600" w:type="dxa"/>
            <w:tcBorders>
              <w:top w:val="nil"/>
              <w:left w:val="nil"/>
              <w:bottom w:val="nil"/>
              <w:right w:val="nil"/>
            </w:tcBorders>
            <w:shd w:val="clear" w:color="000000" w:fill="FDE9D9"/>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8,2</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12,9</w:t>
            </w:r>
          </w:p>
        </w:tc>
        <w:tc>
          <w:tcPr>
            <w:tcW w:w="600" w:type="dxa"/>
            <w:tcBorders>
              <w:top w:val="nil"/>
              <w:left w:val="nil"/>
              <w:bottom w:val="nil"/>
              <w:right w:val="nil"/>
            </w:tcBorders>
            <w:shd w:val="clear" w:color="000000" w:fill="F2DDDC"/>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4,1</w:t>
            </w:r>
          </w:p>
        </w:tc>
        <w:tc>
          <w:tcPr>
            <w:tcW w:w="600" w:type="dxa"/>
            <w:tcBorders>
              <w:top w:val="nil"/>
              <w:left w:val="nil"/>
              <w:bottom w:val="nil"/>
              <w:right w:val="nil"/>
            </w:tcBorders>
            <w:shd w:val="clear" w:color="000000" w:fill="DBE5F1"/>
            <w:noWrap/>
            <w:vAlign w:val="bottom"/>
            <w:hideMark/>
          </w:tcPr>
          <w:p w:rsidR="005924CF" w:rsidRPr="005924CF" w:rsidRDefault="005924CF" w:rsidP="005924CF">
            <w:pPr>
              <w:suppressAutoHyphens w:val="0"/>
              <w:spacing w:after="0"/>
              <w:jc w:val="right"/>
              <w:rPr>
                <w:rFonts w:ascii="Calibri" w:hAnsi="Calibri" w:cs="Calibri"/>
                <w:color w:val="000000"/>
                <w:sz w:val="18"/>
                <w:szCs w:val="18"/>
                <w:lang w:eastAsia="cs-CZ"/>
              </w:rPr>
            </w:pPr>
            <w:r w:rsidRPr="005924CF">
              <w:rPr>
                <w:rFonts w:ascii="Calibri" w:hAnsi="Calibri" w:cs="Calibri"/>
                <w:color w:val="000000"/>
                <w:sz w:val="18"/>
                <w:szCs w:val="18"/>
                <w:lang w:eastAsia="cs-CZ"/>
              </w:rPr>
              <w:t>3</w:t>
            </w:r>
          </w:p>
        </w:tc>
      </w:tr>
      <w:tr w:rsidR="005924CF" w:rsidRPr="005924CF" w:rsidTr="005924CF">
        <w:trPr>
          <w:trHeight w:val="300"/>
        </w:trPr>
        <w:tc>
          <w:tcPr>
            <w:tcW w:w="208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ind w:firstLineChars="100" w:firstLine="181"/>
              <w:jc w:val="lef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Celkem</w:t>
            </w:r>
          </w:p>
        </w:tc>
        <w:tc>
          <w:tcPr>
            <w:tcW w:w="700" w:type="dxa"/>
            <w:tcBorders>
              <w:top w:val="nil"/>
              <w:left w:val="nil"/>
              <w:bottom w:val="nil"/>
              <w:right w:val="nil"/>
            </w:tcBorders>
            <w:shd w:val="clear" w:color="000000" w:fill="254061"/>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31144</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15269</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15875</w:t>
            </w:r>
          </w:p>
        </w:tc>
        <w:tc>
          <w:tcPr>
            <w:tcW w:w="700" w:type="dxa"/>
            <w:tcBorders>
              <w:top w:val="nil"/>
              <w:left w:val="nil"/>
              <w:bottom w:val="nil"/>
              <w:right w:val="nil"/>
            </w:tcBorders>
            <w:shd w:val="clear" w:color="000000" w:fill="974807"/>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2070</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944</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1126</w:t>
            </w:r>
          </w:p>
        </w:tc>
        <w:tc>
          <w:tcPr>
            <w:tcW w:w="700" w:type="dxa"/>
            <w:tcBorders>
              <w:top w:val="nil"/>
              <w:left w:val="nil"/>
              <w:bottom w:val="nil"/>
              <w:right w:val="nil"/>
            </w:tcBorders>
            <w:shd w:val="clear" w:color="000000" w:fill="632523"/>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7,0</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6,9</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7,1</w:t>
            </w:r>
          </w:p>
        </w:tc>
        <w:tc>
          <w:tcPr>
            <w:tcW w:w="600" w:type="dxa"/>
            <w:tcBorders>
              <w:top w:val="nil"/>
              <w:left w:val="nil"/>
              <w:bottom w:val="nil"/>
              <w:right w:val="nil"/>
            </w:tcBorders>
            <w:shd w:val="clear" w:color="000000" w:fill="17375D"/>
            <w:noWrap/>
            <w:vAlign w:val="bottom"/>
            <w:hideMark/>
          </w:tcPr>
          <w:p w:rsidR="005924CF" w:rsidRPr="005924CF" w:rsidRDefault="005924CF" w:rsidP="005924CF">
            <w:pPr>
              <w:suppressAutoHyphens w:val="0"/>
              <w:spacing w:after="0"/>
              <w:jc w:val="right"/>
              <w:rPr>
                <w:rFonts w:ascii="Calibri" w:hAnsi="Calibri" w:cs="Calibri"/>
                <w:b/>
                <w:bCs/>
                <w:color w:val="FFFFFF"/>
                <w:sz w:val="18"/>
                <w:szCs w:val="18"/>
                <w:lang w:eastAsia="cs-CZ"/>
              </w:rPr>
            </w:pPr>
            <w:r w:rsidRPr="005924CF">
              <w:rPr>
                <w:rFonts w:ascii="Calibri" w:hAnsi="Calibri" w:cs="Calibri"/>
                <w:b/>
                <w:bCs/>
                <w:color w:val="FFFFFF"/>
                <w:sz w:val="18"/>
                <w:szCs w:val="18"/>
                <w:lang w:eastAsia="cs-CZ"/>
              </w:rPr>
              <w:t>192</w:t>
            </w:r>
          </w:p>
        </w:tc>
      </w:tr>
    </w:tbl>
    <w:p w:rsidR="00EE0FA6" w:rsidRDefault="001A4563" w:rsidP="00A80F14">
      <w:r>
        <w:t>Zdroj: ČSÚ</w:t>
      </w:r>
      <w:r w:rsidR="00EE0FA6">
        <w:t>; pozn.: Podíl nezaměstnaných osob (PNO)</w:t>
      </w:r>
    </w:p>
    <w:p w:rsidR="000922FE" w:rsidRPr="000922FE" w:rsidRDefault="00774024" w:rsidP="000922FE">
      <w:r>
        <w:t xml:space="preserve">Z názorů zástupců obcí a obyvatel regionu jednoznačně vyplývá značná nespokojenost s nabídkou pracovních </w:t>
      </w:r>
      <w:r w:rsidRPr="00BD2DFF">
        <w:t>příležitostí. Z kapitoly 2.1.7.2.1 Pracovní síla ale zároveň</w:t>
      </w:r>
      <w:r>
        <w:t xml:space="preserve"> vyplývá, že dostupnost pracovní síly sice není brzdou rozvoje podniků, ale její kvalita a kvalifikace není </w:t>
      </w:r>
      <w:r>
        <w:lastRenderedPageBreak/>
        <w:t xml:space="preserve">ideální. </w:t>
      </w:r>
      <w:r w:rsidR="00AC5FA3">
        <w:t>Nabízí se možnosti sladění nabídky s poptávkou,</w:t>
      </w:r>
      <w:r w:rsidR="006C3CD3">
        <w:t xml:space="preserve"> </w:t>
      </w:r>
      <w:r w:rsidR="00AC5FA3">
        <w:t>a to zejména vzděláváním a rekvalifikacemi.</w:t>
      </w:r>
    </w:p>
    <w:p w:rsidR="00431620" w:rsidRDefault="00431620" w:rsidP="007E342E">
      <w:r w:rsidRPr="00431620">
        <w:rPr>
          <w:noProof/>
          <w:lang w:eastAsia="cs-CZ"/>
        </w:rPr>
        <w:drawing>
          <wp:inline distT="0" distB="0" distL="0" distR="0">
            <wp:extent cx="2819400" cy="1781175"/>
            <wp:effectExtent l="19050" t="0" r="19050" b="0"/>
            <wp:docPr id="31"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774024" w:rsidRPr="00774024">
        <w:rPr>
          <w:noProof/>
          <w:lang w:eastAsia="cs-CZ"/>
        </w:rPr>
        <w:drawing>
          <wp:inline distT="0" distB="0" distL="0" distR="0">
            <wp:extent cx="2819400" cy="1781175"/>
            <wp:effectExtent l="19050" t="0" r="19050" b="0"/>
            <wp:docPr id="20"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72A68" w:rsidRDefault="001179F9" w:rsidP="007E342E">
      <w:r>
        <w:t>Pohled</w:t>
      </w:r>
      <w:r w:rsidR="00774024">
        <w:t xml:space="preserve"> starostů vlevo, pohled</w:t>
      </w:r>
      <w:r>
        <w:t xml:space="preserve"> občanů</w:t>
      </w:r>
      <w:r w:rsidR="00774024">
        <w:t xml:space="preserve"> vlevo </w:t>
      </w:r>
    </w:p>
    <w:p w:rsidR="00072A68" w:rsidRDefault="00774024" w:rsidP="007E342E">
      <w:r>
        <w:t xml:space="preserve">Celkově lze problémy shrnout zaměstnanosti hodnotit jako méně ožehavou (vzhledem k některým regionům ČR). Nicméně prostory ke zlepšení se nabízejí v oblasti rekvalifikací, podpoře zaměstnávání znevýhodněných osob na trhu práce a </w:t>
      </w:r>
      <w:r w:rsidR="00AC5FA3">
        <w:t>v sociálním podnikání.</w:t>
      </w:r>
    </w:p>
    <w:p w:rsidR="00CE436C" w:rsidRDefault="00AC5FA3" w:rsidP="00AC5FA3">
      <w:pPr>
        <w:pStyle w:val="Nadpis5"/>
      </w:pPr>
      <w:r>
        <w:t xml:space="preserve">Shrnutí informací </w:t>
      </w:r>
      <w:r w:rsidR="00CE436C">
        <w:t>zaměstnanosti</w:t>
      </w:r>
    </w:p>
    <w:tbl>
      <w:tblPr>
        <w:tblStyle w:val="Mkatabulky"/>
        <w:tblW w:w="0" w:type="auto"/>
        <w:tblLook w:val="04A0"/>
      </w:tblPr>
      <w:tblGrid>
        <w:gridCol w:w="4606"/>
        <w:gridCol w:w="4606"/>
      </w:tblGrid>
      <w:tr w:rsidR="00CE436C" w:rsidTr="002D6B2C">
        <w:trPr>
          <w:cantSplit/>
        </w:trPr>
        <w:tc>
          <w:tcPr>
            <w:tcW w:w="4606" w:type="dxa"/>
            <w:shd w:val="clear" w:color="auto" w:fill="D6E3BC" w:themeFill="accent3" w:themeFillTint="66"/>
          </w:tcPr>
          <w:p w:rsidR="00CE436C" w:rsidRPr="000F7E1C" w:rsidRDefault="00CE436C" w:rsidP="002D6B2C">
            <w:pPr>
              <w:rPr>
                <w:b/>
              </w:rPr>
            </w:pPr>
            <w:r w:rsidRPr="000F7E1C">
              <w:rPr>
                <w:b/>
              </w:rPr>
              <w:t>S „Silné stránky“</w:t>
            </w:r>
          </w:p>
        </w:tc>
        <w:tc>
          <w:tcPr>
            <w:tcW w:w="4606" w:type="dxa"/>
            <w:shd w:val="clear" w:color="auto" w:fill="FBD4B4" w:themeFill="accent6" w:themeFillTint="66"/>
          </w:tcPr>
          <w:p w:rsidR="00CE436C" w:rsidRPr="000F7E1C" w:rsidRDefault="00CE436C" w:rsidP="002D6B2C">
            <w:pPr>
              <w:rPr>
                <w:b/>
              </w:rPr>
            </w:pPr>
            <w:r w:rsidRPr="000F7E1C">
              <w:rPr>
                <w:b/>
              </w:rPr>
              <w:t>W „Slabé stránky“</w:t>
            </w:r>
          </w:p>
        </w:tc>
      </w:tr>
      <w:tr w:rsidR="00CE436C" w:rsidTr="002D6B2C">
        <w:trPr>
          <w:cantSplit/>
          <w:trHeight w:val="2309"/>
        </w:trPr>
        <w:tc>
          <w:tcPr>
            <w:tcW w:w="4606" w:type="dxa"/>
            <w:shd w:val="clear" w:color="auto" w:fill="EAF1DD" w:themeFill="accent3" w:themeFillTint="33"/>
          </w:tcPr>
          <w:p w:rsidR="00CE436C" w:rsidRDefault="00EF093B" w:rsidP="00A60AC9">
            <w:pPr>
              <w:pStyle w:val="Odstavecseseznamem"/>
              <w:numPr>
                <w:ilvl w:val="0"/>
                <w:numId w:val="26"/>
              </w:numPr>
            </w:pPr>
            <w:r>
              <w:t>Existence velkých zavedených zaměstnavatelů</w:t>
            </w:r>
            <w:r w:rsidR="00370AF8">
              <w:t>.</w:t>
            </w:r>
          </w:p>
          <w:p w:rsidR="000A1497" w:rsidRDefault="000A1497" w:rsidP="00A60AC9">
            <w:pPr>
              <w:pStyle w:val="Odstavecseseznamem"/>
              <w:numPr>
                <w:ilvl w:val="0"/>
                <w:numId w:val="26"/>
              </w:numPr>
            </w:pPr>
            <w:r>
              <w:t>Relativně nízká nezaměstnanost.</w:t>
            </w:r>
          </w:p>
        </w:tc>
        <w:tc>
          <w:tcPr>
            <w:tcW w:w="4606" w:type="dxa"/>
            <w:shd w:val="clear" w:color="auto" w:fill="FDE9D9" w:themeFill="accent6" w:themeFillTint="33"/>
          </w:tcPr>
          <w:p w:rsidR="00AC5FA3" w:rsidRDefault="00AC5FA3" w:rsidP="00A60AC9">
            <w:pPr>
              <w:pStyle w:val="Odstavecseseznamem"/>
              <w:numPr>
                <w:ilvl w:val="0"/>
                <w:numId w:val="25"/>
              </w:numPr>
            </w:pPr>
            <w:r>
              <w:t>Nízká poptávka ze strany regionálních subjektů</w:t>
            </w:r>
            <w:r w:rsidR="006732F5">
              <w:t xml:space="preserve"> a její vliv na zaměstnanost.</w:t>
            </w:r>
          </w:p>
          <w:p w:rsidR="006732F5" w:rsidRDefault="006732F5" w:rsidP="00A60AC9">
            <w:pPr>
              <w:pStyle w:val="Odstavecseseznamem"/>
              <w:numPr>
                <w:ilvl w:val="0"/>
                <w:numId w:val="25"/>
              </w:numPr>
            </w:pPr>
            <w:r>
              <w:t>Nabídka pracovní síly nekoresponduje s poptávkou.</w:t>
            </w:r>
          </w:p>
          <w:p w:rsidR="0017451E" w:rsidRDefault="0017451E" w:rsidP="00A60AC9">
            <w:pPr>
              <w:pStyle w:val="Odstavecseseznamem"/>
              <w:numPr>
                <w:ilvl w:val="0"/>
                <w:numId w:val="25"/>
              </w:numPr>
            </w:pPr>
            <w:r>
              <w:t>Vysoké zastoupení znevýhodněných uchazečů na trhu práce.</w:t>
            </w:r>
          </w:p>
        </w:tc>
      </w:tr>
      <w:tr w:rsidR="00CE436C" w:rsidTr="002D6B2C">
        <w:trPr>
          <w:cantSplit/>
        </w:trPr>
        <w:tc>
          <w:tcPr>
            <w:tcW w:w="4606" w:type="dxa"/>
            <w:shd w:val="clear" w:color="auto" w:fill="B8CCE4" w:themeFill="accent1" w:themeFillTint="66"/>
          </w:tcPr>
          <w:p w:rsidR="00CE436C" w:rsidRPr="000F7E1C" w:rsidRDefault="00CE436C" w:rsidP="002D6B2C">
            <w:pPr>
              <w:rPr>
                <w:b/>
              </w:rPr>
            </w:pPr>
            <w:r w:rsidRPr="000F7E1C">
              <w:rPr>
                <w:b/>
              </w:rPr>
              <w:t>O „Příležitosti“</w:t>
            </w:r>
          </w:p>
        </w:tc>
        <w:tc>
          <w:tcPr>
            <w:tcW w:w="4606" w:type="dxa"/>
            <w:shd w:val="clear" w:color="auto" w:fill="E5B8B7" w:themeFill="accent2" w:themeFillTint="66"/>
          </w:tcPr>
          <w:p w:rsidR="00CE436C" w:rsidRPr="000F7E1C" w:rsidRDefault="00CE436C" w:rsidP="002D6B2C">
            <w:pPr>
              <w:rPr>
                <w:b/>
              </w:rPr>
            </w:pPr>
            <w:r w:rsidRPr="000F7E1C">
              <w:rPr>
                <w:b/>
              </w:rPr>
              <w:t>T „Hrozby“</w:t>
            </w:r>
          </w:p>
        </w:tc>
      </w:tr>
      <w:tr w:rsidR="00CE436C" w:rsidTr="002D6B2C">
        <w:trPr>
          <w:cantSplit/>
          <w:trHeight w:val="2829"/>
        </w:trPr>
        <w:tc>
          <w:tcPr>
            <w:tcW w:w="4606" w:type="dxa"/>
            <w:shd w:val="clear" w:color="auto" w:fill="DBE5F1" w:themeFill="accent1" w:themeFillTint="33"/>
          </w:tcPr>
          <w:p w:rsidR="00CE436C" w:rsidRDefault="00AC5FA3" w:rsidP="00A60AC9">
            <w:pPr>
              <w:pStyle w:val="Odstavecseseznamem"/>
              <w:numPr>
                <w:ilvl w:val="0"/>
                <w:numId w:val="27"/>
              </w:numPr>
            </w:pPr>
            <w:r>
              <w:lastRenderedPageBreak/>
              <w:t>Propagace z pohledu regionální produkce.</w:t>
            </w:r>
          </w:p>
          <w:p w:rsidR="00AC5FA3" w:rsidRDefault="00AC5FA3" w:rsidP="00A60AC9">
            <w:pPr>
              <w:pStyle w:val="Odstavecseseznamem"/>
              <w:numPr>
                <w:ilvl w:val="0"/>
                <w:numId w:val="27"/>
              </w:numPr>
            </w:pPr>
            <w:r>
              <w:t xml:space="preserve">Poptávka </w:t>
            </w:r>
            <w:r w:rsidR="006732F5">
              <w:t>generovaná</w:t>
            </w:r>
            <w:r>
              <w:t xml:space="preserve"> cestovním ruchem.</w:t>
            </w:r>
          </w:p>
          <w:p w:rsidR="006732F5" w:rsidRDefault="006732F5" w:rsidP="00A60AC9">
            <w:pPr>
              <w:pStyle w:val="Odstavecseseznamem"/>
              <w:numPr>
                <w:ilvl w:val="0"/>
                <w:numId w:val="27"/>
              </w:numPr>
            </w:pPr>
            <w:r>
              <w:t>Průmyslové zóny v regionu.</w:t>
            </w:r>
          </w:p>
          <w:p w:rsidR="000A1497" w:rsidRDefault="000A1497" w:rsidP="00A60AC9">
            <w:pPr>
              <w:pStyle w:val="Odstavecseseznamem"/>
              <w:numPr>
                <w:ilvl w:val="0"/>
                <w:numId w:val="26"/>
              </w:numPr>
            </w:pPr>
            <w:r>
              <w:t>Nízká průměrná mzda.</w:t>
            </w:r>
          </w:p>
          <w:p w:rsidR="000A1497" w:rsidRDefault="000A1497" w:rsidP="000A1497">
            <w:pPr>
              <w:pStyle w:val="Odstavecseseznamem"/>
              <w:ind w:left="720"/>
            </w:pPr>
          </w:p>
        </w:tc>
        <w:tc>
          <w:tcPr>
            <w:tcW w:w="4606" w:type="dxa"/>
            <w:shd w:val="clear" w:color="auto" w:fill="F2DBDB" w:themeFill="accent2" w:themeFillTint="33"/>
          </w:tcPr>
          <w:p w:rsidR="00CE436C" w:rsidRDefault="00AC5FA3" w:rsidP="00A60AC9">
            <w:pPr>
              <w:pStyle w:val="Odstavecseseznamem"/>
              <w:numPr>
                <w:ilvl w:val="0"/>
                <w:numId w:val="27"/>
              </w:numPr>
            </w:pPr>
            <w:r>
              <w:t>Odchody mladé a kvalifikované pracovní síly z regionu</w:t>
            </w:r>
            <w:r w:rsidR="006732F5">
              <w:t>.</w:t>
            </w:r>
          </w:p>
          <w:p w:rsidR="006732F5" w:rsidRDefault="00FC2306" w:rsidP="00A60AC9">
            <w:pPr>
              <w:pStyle w:val="Odstavecseseznamem"/>
              <w:numPr>
                <w:ilvl w:val="0"/>
                <w:numId w:val="27"/>
              </w:numPr>
            </w:pPr>
            <w:r>
              <w:t>Zhoršující se morální a charakterové vlastnosti některých skupin uchazečů o zaměstnání.</w:t>
            </w:r>
          </w:p>
        </w:tc>
      </w:tr>
    </w:tbl>
    <w:p w:rsidR="00496B61" w:rsidRDefault="00496B61" w:rsidP="007E342E"/>
    <w:p w:rsidR="0017451E" w:rsidRPr="0017451E" w:rsidRDefault="0017451E" w:rsidP="0017451E">
      <w:r>
        <w:t xml:space="preserve">Řada atributů SWOT analýzy se shoduje s analýzou uvedenou v části 2.1.7.3.2. </w:t>
      </w:r>
      <w:r w:rsidRPr="0017451E">
        <w:t>Shrnutí informací o podnikání a výrobě</w:t>
      </w:r>
      <w:r>
        <w:t>, protože řada zájmů zaměstnavatelů a zaměstnanců se shoduje. Protože ale v některých oblastech jsou zájmy těchto skupin protichůdné, je SWOT analýza v obou částech a zde jsou dále rozebrány jen části, které ještě nebyly zmíněny jinde.</w:t>
      </w:r>
    </w:p>
    <w:p w:rsidR="006732F5" w:rsidRDefault="00BF7D70" w:rsidP="00A60AC9">
      <w:pPr>
        <w:pStyle w:val="Odstavecseseznamem"/>
        <w:numPr>
          <w:ilvl w:val="0"/>
          <w:numId w:val="27"/>
        </w:numPr>
      </w:pPr>
      <w:r>
        <w:t>Nízká průměrná mzda a budování nových průmyslových zón ve větších městech nabízí dobré podmínk</w:t>
      </w:r>
      <w:r w:rsidR="00152A7D">
        <w:t>y pro příchod nových investorů, což ale není v zájmu již působících firem.</w:t>
      </w:r>
    </w:p>
    <w:p w:rsidR="00152A7D" w:rsidRPr="007E342E" w:rsidRDefault="00152A7D" w:rsidP="00A60AC9">
      <w:pPr>
        <w:pStyle w:val="Odstavecseseznamem"/>
        <w:numPr>
          <w:ilvl w:val="0"/>
          <w:numId w:val="27"/>
        </w:numPr>
      </w:pPr>
      <w:r>
        <w:t>Mezi nezaměstnanými jsou v relativně velké míře zastoupeny osoby nějakým způsobem znevýhodněné na trhu práce. V tomto směru by řešením byl další rozvoj sociálního podnikání nebo podpora zřizování odpovídajících pracovních míst.</w:t>
      </w:r>
    </w:p>
    <w:p w:rsidR="00120802" w:rsidRDefault="000F7E1C" w:rsidP="009F4D7F">
      <w:pPr>
        <w:pStyle w:val="Nadpis3"/>
      </w:pPr>
      <w:bookmarkStart w:id="29" w:name="_Toc430006503"/>
      <w:r>
        <w:t>Vzdělávání a</w:t>
      </w:r>
      <w:r w:rsidR="00120802">
        <w:t xml:space="preserve"> školství</w:t>
      </w:r>
      <w:bookmarkEnd w:id="29"/>
    </w:p>
    <w:p w:rsidR="001F0DA4" w:rsidRPr="001F0DA4" w:rsidRDefault="001F0DA4" w:rsidP="001F0DA4">
      <w:pPr>
        <w:pStyle w:val="Nadpis4"/>
      </w:pPr>
      <w:r>
        <w:t>Školství v regionu</w:t>
      </w:r>
    </w:p>
    <w:p w:rsidR="0021387C" w:rsidRDefault="00B530A6" w:rsidP="006C5470">
      <w:r>
        <w:t>V oblasti vzdělávání a školství se rovněž silně projevuje povaha regionu (větší množství menších obcí + dvě větší centra - města). V malých obcích jsou vzdělávací zařízení k dispozici v malé míře a často sdílené více obcemi. Objevují se tedy také problémy s dopravou. Ve větších městech je vzdělávání zajištěno na solidní úrovni, avšak tato zařízení často musí kompenzovat nedostupnost zařízení právě v malých obcích.</w:t>
      </w:r>
    </w:p>
    <w:p w:rsidR="00BD2DFF" w:rsidRDefault="00BD2DFF" w:rsidP="006C5470"/>
    <w:p w:rsidR="00BD2DFF" w:rsidRDefault="00BD2DFF" w:rsidP="006C5470"/>
    <w:tbl>
      <w:tblPr>
        <w:tblW w:w="9760" w:type="dxa"/>
        <w:tblInd w:w="-781" w:type="dxa"/>
        <w:tblCellMar>
          <w:left w:w="70" w:type="dxa"/>
          <w:right w:w="70" w:type="dxa"/>
        </w:tblCellMar>
        <w:tblLook w:val="04A0"/>
      </w:tblPr>
      <w:tblGrid>
        <w:gridCol w:w="2080"/>
        <w:gridCol w:w="960"/>
        <w:gridCol w:w="960"/>
        <w:gridCol w:w="960"/>
        <w:gridCol w:w="960"/>
        <w:gridCol w:w="960"/>
        <w:gridCol w:w="960"/>
        <w:gridCol w:w="960"/>
        <w:gridCol w:w="960"/>
      </w:tblGrid>
      <w:tr w:rsidR="001F0DA4" w:rsidRPr="001F0DA4" w:rsidTr="001F0DA4">
        <w:trPr>
          <w:trHeight w:val="300"/>
        </w:trPr>
        <w:tc>
          <w:tcPr>
            <w:tcW w:w="2080" w:type="dxa"/>
            <w:tcBorders>
              <w:top w:val="nil"/>
              <w:left w:val="nil"/>
              <w:bottom w:val="nil"/>
              <w:right w:val="nil"/>
            </w:tcBorders>
            <w:shd w:val="clear" w:color="auto" w:fill="auto"/>
            <w:noWrap/>
            <w:vAlign w:val="bottom"/>
            <w:hideMark/>
          </w:tcPr>
          <w:p w:rsidR="001F0DA4" w:rsidRPr="001F0DA4" w:rsidRDefault="001F0DA4" w:rsidP="001F0DA4">
            <w:pPr>
              <w:suppressAutoHyphens w:val="0"/>
              <w:spacing w:after="0"/>
              <w:jc w:val="left"/>
              <w:rPr>
                <w:rFonts w:ascii="Calibri" w:hAnsi="Calibri" w:cs="Calibri"/>
                <w:color w:val="000000"/>
                <w:szCs w:val="22"/>
                <w:lang w:eastAsia="cs-CZ"/>
              </w:rPr>
            </w:pPr>
          </w:p>
        </w:tc>
        <w:tc>
          <w:tcPr>
            <w:tcW w:w="3840" w:type="dxa"/>
            <w:gridSpan w:val="4"/>
            <w:tcBorders>
              <w:top w:val="nil"/>
              <w:left w:val="nil"/>
              <w:bottom w:val="single" w:sz="4" w:space="0" w:color="auto"/>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Počet tříd</w:t>
            </w:r>
          </w:p>
        </w:tc>
        <w:tc>
          <w:tcPr>
            <w:tcW w:w="3840" w:type="dxa"/>
            <w:gridSpan w:val="4"/>
            <w:tcBorders>
              <w:top w:val="nil"/>
              <w:left w:val="nil"/>
              <w:bottom w:val="single" w:sz="4" w:space="0" w:color="auto"/>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Počet škol</w:t>
            </w:r>
          </w:p>
        </w:tc>
      </w:tr>
      <w:tr w:rsidR="001F0DA4" w:rsidRPr="001F0DA4" w:rsidTr="0021387C">
        <w:trPr>
          <w:trHeight w:hRule="exact" w:val="1191"/>
        </w:trPr>
        <w:tc>
          <w:tcPr>
            <w:tcW w:w="2080" w:type="dxa"/>
            <w:tcBorders>
              <w:top w:val="single" w:sz="4" w:space="0" w:color="auto"/>
              <w:left w:val="single" w:sz="4" w:space="0" w:color="auto"/>
              <w:bottom w:val="single" w:sz="4" w:space="0" w:color="auto"/>
              <w:right w:val="single" w:sz="4" w:space="0" w:color="auto"/>
            </w:tcBorders>
            <w:shd w:val="clear" w:color="000000" w:fill="17375D"/>
            <w:vAlign w:val="center"/>
            <w:hideMark/>
          </w:tcPr>
          <w:p w:rsidR="001F0DA4" w:rsidRPr="001F0DA4" w:rsidRDefault="001F0DA4" w:rsidP="001F0DA4">
            <w:pPr>
              <w:suppressAutoHyphens w:val="0"/>
              <w:spacing w:after="0"/>
              <w:jc w:val="center"/>
              <w:rPr>
                <w:rFonts w:ascii="Arial" w:hAnsi="Arial" w:cs="Arial"/>
                <w:color w:val="FFFFFF"/>
                <w:sz w:val="16"/>
                <w:szCs w:val="16"/>
                <w:lang w:eastAsia="cs-CZ"/>
              </w:rPr>
            </w:pPr>
            <w:r w:rsidRPr="001F0DA4">
              <w:rPr>
                <w:rFonts w:ascii="Arial" w:hAnsi="Arial" w:cs="Arial"/>
                <w:color w:val="FFFFFF"/>
                <w:sz w:val="16"/>
                <w:szCs w:val="16"/>
                <w:lang w:eastAsia="cs-CZ"/>
              </w:rPr>
              <w:t>Obec název</w:t>
            </w:r>
          </w:p>
        </w:tc>
        <w:tc>
          <w:tcPr>
            <w:tcW w:w="960" w:type="dxa"/>
            <w:tcBorders>
              <w:top w:val="nil"/>
              <w:left w:val="nil"/>
              <w:bottom w:val="single" w:sz="4" w:space="0" w:color="auto"/>
              <w:right w:val="single" w:sz="4" w:space="0" w:color="auto"/>
            </w:tcBorders>
            <w:shd w:val="clear" w:color="000000" w:fill="538ED5"/>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MŠ</w:t>
            </w:r>
          </w:p>
        </w:tc>
        <w:tc>
          <w:tcPr>
            <w:tcW w:w="960" w:type="dxa"/>
            <w:tcBorders>
              <w:top w:val="nil"/>
              <w:left w:val="nil"/>
              <w:bottom w:val="single" w:sz="4" w:space="0" w:color="auto"/>
              <w:right w:val="single" w:sz="4" w:space="0" w:color="auto"/>
            </w:tcBorders>
            <w:shd w:val="clear" w:color="000000" w:fill="95B3D7"/>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ZŠ (1. – 5. ročník)</w:t>
            </w:r>
          </w:p>
        </w:tc>
        <w:tc>
          <w:tcPr>
            <w:tcW w:w="960" w:type="dxa"/>
            <w:tcBorders>
              <w:top w:val="nil"/>
              <w:left w:val="nil"/>
              <w:bottom w:val="single" w:sz="4" w:space="0" w:color="auto"/>
              <w:right w:val="single" w:sz="4" w:space="0" w:color="auto"/>
            </w:tcBorders>
            <w:shd w:val="clear" w:color="000000" w:fill="95B3D7"/>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 xml:space="preserve">ZŠ (6. – 9. ročník) </w:t>
            </w:r>
          </w:p>
        </w:tc>
        <w:tc>
          <w:tcPr>
            <w:tcW w:w="960" w:type="dxa"/>
            <w:tcBorders>
              <w:top w:val="nil"/>
              <w:left w:val="nil"/>
              <w:bottom w:val="single" w:sz="4" w:space="0" w:color="auto"/>
              <w:right w:val="single" w:sz="4" w:space="0" w:color="auto"/>
            </w:tcBorders>
            <w:shd w:val="clear" w:color="000000" w:fill="95B3D7"/>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ZŠ (1. – 9. ročník)</w:t>
            </w:r>
          </w:p>
        </w:tc>
        <w:tc>
          <w:tcPr>
            <w:tcW w:w="960" w:type="dxa"/>
            <w:tcBorders>
              <w:top w:val="nil"/>
              <w:left w:val="nil"/>
              <w:bottom w:val="single" w:sz="4" w:space="0" w:color="auto"/>
              <w:right w:val="single" w:sz="4" w:space="0" w:color="auto"/>
            </w:tcBorders>
            <w:shd w:val="clear" w:color="000000" w:fill="538ED5"/>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SŠ gymnázia</w:t>
            </w:r>
          </w:p>
        </w:tc>
        <w:tc>
          <w:tcPr>
            <w:tcW w:w="960" w:type="dxa"/>
            <w:tcBorders>
              <w:top w:val="nil"/>
              <w:left w:val="nil"/>
              <w:bottom w:val="single" w:sz="4" w:space="0" w:color="auto"/>
              <w:right w:val="single" w:sz="4" w:space="0" w:color="auto"/>
            </w:tcBorders>
            <w:shd w:val="clear" w:color="000000" w:fill="538ED5"/>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SŠ - obory středních odborných</w:t>
            </w:r>
            <w:r w:rsidR="00EE2B1D">
              <w:rPr>
                <w:rFonts w:ascii="Arial" w:hAnsi="Arial" w:cs="Arial"/>
                <w:sz w:val="16"/>
                <w:szCs w:val="16"/>
                <w:lang w:eastAsia="cs-CZ"/>
              </w:rPr>
              <w:t xml:space="preserve"> </w:t>
            </w:r>
            <w:r w:rsidRPr="001F0DA4">
              <w:rPr>
                <w:rFonts w:ascii="Arial" w:hAnsi="Arial" w:cs="Arial"/>
                <w:sz w:val="16"/>
                <w:szCs w:val="16"/>
                <w:lang w:eastAsia="cs-CZ"/>
              </w:rPr>
              <w:t>a praktických škol</w:t>
            </w:r>
          </w:p>
        </w:tc>
        <w:tc>
          <w:tcPr>
            <w:tcW w:w="960" w:type="dxa"/>
            <w:tcBorders>
              <w:top w:val="nil"/>
              <w:left w:val="nil"/>
              <w:bottom w:val="single" w:sz="4" w:space="0" w:color="auto"/>
              <w:right w:val="single" w:sz="4" w:space="0" w:color="auto"/>
            </w:tcBorders>
            <w:shd w:val="clear" w:color="000000" w:fill="538ED5"/>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SŠ - obory středních odborných</w:t>
            </w:r>
            <w:r w:rsidR="00EE2B1D">
              <w:rPr>
                <w:rFonts w:ascii="Arial" w:hAnsi="Arial" w:cs="Arial"/>
                <w:sz w:val="16"/>
                <w:szCs w:val="16"/>
                <w:lang w:eastAsia="cs-CZ"/>
              </w:rPr>
              <w:t xml:space="preserve"> </w:t>
            </w:r>
            <w:r w:rsidRPr="001F0DA4">
              <w:rPr>
                <w:rFonts w:ascii="Arial" w:hAnsi="Arial" w:cs="Arial"/>
                <w:sz w:val="16"/>
                <w:szCs w:val="16"/>
                <w:lang w:eastAsia="cs-CZ"/>
              </w:rPr>
              <w:t>učilišť a odb. učilišť</w:t>
            </w:r>
          </w:p>
        </w:tc>
        <w:tc>
          <w:tcPr>
            <w:tcW w:w="960" w:type="dxa"/>
            <w:tcBorders>
              <w:top w:val="nil"/>
              <w:left w:val="nil"/>
              <w:bottom w:val="single" w:sz="4" w:space="0" w:color="auto"/>
              <w:right w:val="single" w:sz="4" w:space="0" w:color="auto"/>
            </w:tcBorders>
            <w:shd w:val="clear" w:color="000000" w:fill="95B3D7"/>
            <w:vAlign w:val="center"/>
            <w:hideMark/>
          </w:tcPr>
          <w:p w:rsidR="001F0DA4" w:rsidRPr="001F0DA4" w:rsidRDefault="001F0DA4" w:rsidP="001F0DA4">
            <w:pPr>
              <w:suppressAutoHyphens w:val="0"/>
              <w:spacing w:after="0"/>
              <w:jc w:val="center"/>
              <w:rPr>
                <w:rFonts w:ascii="Arial" w:hAnsi="Arial" w:cs="Arial"/>
                <w:sz w:val="16"/>
                <w:szCs w:val="16"/>
                <w:lang w:eastAsia="cs-CZ"/>
              </w:rPr>
            </w:pPr>
            <w:r w:rsidRPr="001F0DA4">
              <w:rPr>
                <w:rFonts w:ascii="Arial" w:hAnsi="Arial" w:cs="Arial"/>
                <w:sz w:val="16"/>
                <w:szCs w:val="16"/>
                <w:lang w:eastAsia="cs-CZ"/>
              </w:rPr>
              <w:t>Základní umělecké školy POČET ŠKOL</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Benátky</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Bohuňovice</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Bor u Skutče</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Bučina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Budislav</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Cerekvice nad Loučnou</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9</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České Heřmanice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Čistá</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Desná</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Dolní Újezd</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14</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Hluboká</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Horky</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Horní Újezd</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Hrušová</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Chmelík</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Chotěnov</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Chotovice</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Janov</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Jarošov</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Javorník</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Leština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Libecina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Litomyšl</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14</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55</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Lubná</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Makov</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Morašice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7</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Němčice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Nová Sídla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Nová Ves u Jarošova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Nové Hrady</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Osík</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Otradov</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Perálec</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Poříčí u Litomyšle</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Proseč</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4</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Příluka</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Pustina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Řídký</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Sebranice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6</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lastRenderedPageBreak/>
              <w:t>Sedliště</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Sloupnice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9</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Strakov</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Suchá Lhota</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Tisová</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Trstěnice</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7</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Tržek</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Újezdec</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Vidlatá Seč</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Vlčkov</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Vračovice-Orlov</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Vysoké Mýto</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19</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5</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58</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2</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Zádolí</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Zálší</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1</w:t>
            </w:r>
          </w:p>
        </w:tc>
        <w:tc>
          <w:tcPr>
            <w:tcW w:w="960" w:type="dxa"/>
            <w:tcBorders>
              <w:top w:val="nil"/>
              <w:left w:val="nil"/>
              <w:bottom w:val="nil"/>
              <w:right w:val="nil"/>
            </w:tcBorders>
            <w:shd w:val="clear" w:color="000000" w:fill="C6EFCE"/>
            <w:noWrap/>
            <w:vAlign w:val="bottom"/>
            <w:hideMark/>
          </w:tcPr>
          <w:p w:rsidR="001F0DA4" w:rsidRPr="001F0DA4" w:rsidRDefault="001F0DA4" w:rsidP="001F0DA4">
            <w:pPr>
              <w:suppressAutoHyphens w:val="0"/>
              <w:spacing w:after="0"/>
              <w:jc w:val="center"/>
              <w:rPr>
                <w:rFonts w:ascii="Arial" w:hAnsi="Arial" w:cs="Arial"/>
                <w:color w:val="006100"/>
                <w:sz w:val="18"/>
                <w:szCs w:val="18"/>
                <w:lang w:eastAsia="cs-CZ"/>
              </w:rPr>
            </w:pPr>
            <w:r w:rsidRPr="001F0DA4">
              <w:rPr>
                <w:rFonts w:ascii="Arial" w:hAnsi="Arial" w:cs="Arial"/>
                <w:color w:val="006100"/>
                <w:sz w:val="18"/>
                <w:szCs w:val="18"/>
                <w:lang w:eastAsia="cs-CZ"/>
              </w:rPr>
              <w:t>3</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95B3D7"/>
            <w:noWrap/>
            <w:vAlign w:val="center"/>
            <w:hideMark/>
          </w:tcPr>
          <w:p w:rsidR="001F0DA4" w:rsidRPr="001F0DA4" w:rsidRDefault="001F0DA4" w:rsidP="001F0DA4">
            <w:pPr>
              <w:suppressAutoHyphens w:val="0"/>
              <w:spacing w:after="0"/>
              <w:jc w:val="left"/>
              <w:rPr>
                <w:rFonts w:ascii="Arial" w:hAnsi="Arial" w:cs="Arial"/>
                <w:sz w:val="18"/>
                <w:szCs w:val="18"/>
                <w:lang w:eastAsia="cs-CZ"/>
              </w:rPr>
            </w:pPr>
            <w:r w:rsidRPr="001F0DA4">
              <w:rPr>
                <w:rFonts w:ascii="Arial" w:hAnsi="Arial" w:cs="Arial"/>
                <w:sz w:val="18"/>
                <w:szCs w:val="18"/>
                <w:lang w:eastAsia="cs-CZ"/>
              </w:rPr>
              <w:t>Zderaz</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c>
          <w:tcPr>
            <w:tcW w:w="960" w:type="dxa"/>
            <w:tcBorders>
              <w:top w:val="nil"/>
              <w:left w:val="nil"/>
              <w:bottom w:val="nil"/>
              <w:right w:val="nil"/>
            </w:tcBorders>
            <w:shd w:val="clear" w:color="000000" w:fill="C5D9F1"/>
            <w:noWrap/>
            <w:vAlign w:val="bottom"/>
            <w:hideMark/>
          </w:tcPr>
          <w:p w:rsidR="001F0DA4" w:rsidRPr="001F0DA4" w:rsidRDefault="001F0DA4" w:rsidP="001F0DA4">
            <w:pPr>
              <w:suppressAutoHyphens w:val="0"/>
              <w:spacing w:after="0"/>
              <w:jc w:val="center"/>
              <w:rPr>
                <w:rFonts w:ascii="Arial" w:hAnsi="Arial" w:cs="Arial"/>
                <w:sz w:val="18"/>
                <w:szCs w:val="18"/>
                <w:lang w:eastAsia="cs-CZ"/>
              </w:rPr>
            </w:pPr>
            <w:r w:rsidRPr="001F0DA4">
              <w:rPr>
                <w:rFonts w:ascii="Arial" w:hAnsi="Arial" w:cs="Arial"/>
                <w:sz w:val="18"/>
                <w:szCs w:val="18"/>
                <w:lang w:eastAsia="cs-CZ"/>
              </w:rPr>
              <w:t>0</w:t>
            </w:r>
          </w:p>
        </w:tc>
      </w:tr>
      <w:tr w:rsidR="001F0DA4" w:rsidRPr="001F0DA4" w:rsidTr="001F0DA4">
        <w:trPr>
          <w:trHeight w:val="300"/>
        </w:trPr>
        <w:tc>
          <w:tcPr>
            <w:tcW w:w="2080" w:type="dxa"/>
            <w:tcBorders>
              <w:top w:val="nil"/>
              <w:left w:val="nil"/>
              <w:bottom w:val="nil"/>
              <w:right w:val="nil"/>
            </w:tcBorders>
            <w:shd w:val="clear" w:color="000000" w:fill="17375D"/>
            <w:noWrap/>
            <w:vAlign w:val="center"/>
            <w:hideMark/>
          </w:tcPr>
          <w:p w:rsidR="001F0DA4" w:rsidRPr="001F0DA4" w:rsidRDefault="001F0DA4" w:rsidP="001F0DA4">
            <w:pPr>
              <w:suppressAutoHyphens w:val="0"/>
              <w:spacing w:after="0"/>
              <w:jc w:val="left"/>
              <w:rPr>
                <w:rFonts w:ascii="Arial" w:hAnsi="Arial" w:cs="Arial"/>
                <w:b/>
                <w:bCs/>
                <w:color w:val="FFFFFF"/>
                <w:sz w:val="18"/>
                <w:szCs w:val="18"/>
                <w:lang w:eastAsia="cs-CZ"/>
              </w:rPr>
            </w:pPr>
            <w:r w:rsidRPr="001F0DA4">
              <w:rPr>
                <w:rFonts w:ascii="Arial" w:hAnsi="Arial" w:cs="Arial"/>
                <w:b/>
                <w:bCs/>
                <w:color w:val="FFFFFF"/>
                <w:sz w:val="18"/>
                <w:szCs w:val="18"/>
                <w:lang w:eastAsia="cs-CZ"/>
              </w:rPr>
              <w:t>Celkem</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71</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30</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3</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175</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2</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6</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3</w:t>
            </w:r>
          </w:p>
        </w:tc>
        <w:tc>
          <w:tcPr>
            <w:tcW w:w="960" w:type="dxa"/>
            <w:tcBorders>
              <w:top w:val="nil"/>
              <w:left w:val="nil"/>
              <w:bottom w:val="nil"/>
              <w:right w:val="nil"/>
            </w:tcBorders>
            <w:shd w:val="clear" w:color="000000" w:fill="17375D"/>
            <w:noWrap/>
            <w:vAlign w:val="bottom"/>
            <w:hideMark/>
          </w:tcPr>
          <w:p w:rsidR="001F0DA4" w:rsidRPr="001F0DA4" w:rsidRDefault="001F0DA4" w:rsidP="001F0DA4">
            <w:pPr>
              <w:suppressAutoHyphens w:val="0"/>
              <w:spacing w:after="0"/>
              <w:jc w:val="center"/>
              <w:rPr>
                <w:rFonts w:ascii="Calibri" w:hAnsi="Calibri" w:cs="Calibri"/>
                <w:b/>
                <w:bCs/>
                <w:color w:val="FFFFFF"/>
                <w:szCs w:val="22"/>
                <w:lang w:eastAsia="cs-CZ"/>
              </w:rPr>
            </w:pPr>
            <w:r w:rsidRPr="001F0DA4">
              <w:rPr>
                <w:rFonts w:ascii="Calibri" w:hAnsi="Calibri" w:cs="Calibri"/>
                <w:b/>
                <w:bCs/>
                <w:color w:val="FFFFFF"/>
                <w:szCs w:val="22"/>
                <w:lang w:eastAsia="cs-CZ"/>
              </w:rPr>
              <w:t>5</w:t>
            </w:r>
          </w:p>
        </w:tc>
      </w:tr>
    </w:tbl>
    <w:p w:rsidR="001F0DA4" w:rsidRDefault="001F0DA4" w:rsidP="001F0DA4">
      <w:pPr>
        <w:rPr>
          <w:highlight w:val="red"/>
        </w:rPr>
      </w:pPr>
    </w:p>
    <w:p w:rsidR="00B530A6" w:rsidRPr="00B530A6" w:rsidRDefault="00B530A6" w:rsidP="001F0DA4">
      <w:r w:rsidRPr="00B530A6">
        <w:t>Základní údaje:</w:t>
      </w:r>
    </w:p>
    <w:p w:rsidR="00F365ED" w:rsidRPr="00B530A6" w:rsidRDefault="00B530A6" w:rsidP="00A60AC9">
      <w:pPr>
        <w:pStyle w:val="Odstavecseseznamem"/>
        <w:numPr>
          <w:ilvl w:val="0"/>
          <w:numId w:val="29"/>
        </w:numPr>
      </w:pPr>
      <w:r w:rsidRPr="00B530A6">
        <w:t>mateřské školy jsou dostupné v</w:t>
      </w:r>
      <w:r w:rsidR="00400CD5">
        <w:t xml:space="preserve">e 27 z 54 </w:t>
      </w:r>
      <w:r w:rsidRPr="00B530A6">
        <w:t>měst a obcí</w:t>
      </w:r>
      <w:r w:rsidR="00400CD5">
        <w:t xml:space="preserve"> (50 %)</w:t>
      </w:r>
      <w:r w:rsidRPr="00B530A6">
        <w:t>;</w:t>
      </w:r>
    </w:p>
    <w:p w:rsidR="00B530A6" w:rsidRDefault="00B530A6" w:rsidP="00A60AC9">
      <w:pPr>
        <w:pStyle w:val="Odstavecseseznamem"/>
        <w:numPr>
          <w:ilvl w:val="0"/>
          <w:numId w:val="29"/>
        </w:numPr>
      </w:pPr>
      <w:r>
        <w:t>základní školy (1. – 9. ročník)</w:t>
      </w:r>
      <w:r w:rsidR="00FD2E42">
        <w:t xml:space="preserve"> jsou k dispozici v </w:t>
      </w:r>
      <w:r w:rsidR="00400CD5">
        <w:t>9</w:t>
      </w:r>
      <w:r w:rsidR="00FD2E42">
        <w:t xml:space="preserve"> z 54 měst a obcí (17 %);</w:t>
      </w:r>
    </w:p>
    <w:p w:rsidR="00B530A6" w:rsidRDefault="00B530A6" w:rsidP="00A60AC9">
      <w:pPr>
        <w:pStyle w:val="Odstavecseseznamem"/>
        <w:numPr>
          <w:ilvl w:val="0"/>
          <w:numId w:val="29"/>
        </w:numPr>
      </w:pPr>
      <w:r>
        <w:t>základní školy (1. –</w:t>
      </w:r>
      <w:r w:rsidR="00E25990">
        <w:t xml:space="preserve"> 5</w:t>
      </w:r>
      <w:r>
        <w:t xml:space="preserve">. ročník) </w:t>
      </w:r>
      <w:r w:rsidR="00FD2E42">
        <w:t>jsou k dispozici v 13 z 54 měst a obcí (24 %);</w:t>
      </w:r>
    </w:p>
    <w:p w:rsidR="00B530A6" w:rsidRDefault="00B530A6" w:rsidP="00A60AC9">
      <w:pPr>
        <w:pStyle w:val="Odstavecseseznamem"/>
        <w:numPr>
          <w:ilvl w:val="0"/>
          <w:numId w:val="29"/>
        </w:numPr>
      </w:pPr>
      <w:r>
        <w:t>základní školy (</w:t>
      </w:r>
      <w:r w:rsidR="00400CD5">
        <w:t>6</w:t>
      </w:r>
      <w:r>
        <w:t>. – 9. ročník)</w:t>
      </w:r>
      <w:r w:rsidR="00FD2E42">
        <w:t xml:space="preserve"> je k dispozici v 1 z 54 měst a obcí (2 %);</w:t>
      </w:r>
    </w:p>
    <w:p w:rsidR="00B530A6" w:rsidRDefault="00FD2E42" w:rsidP="00A60AC9">
      <w:pPr>
        <w:pStyle w:val="Odstavecseseznamem"/>
        <w:numPr>
          <w:ilvl w:val="0"/>
          <w:numId w:val="29"/>
        </w:numPr>
      </w:pPr>
      <w:r>
        <w:t>gymnázia</w:t>
      </w:r>
      <w:r w:rsidRPr="00FD2E42">
        <w:t xml:space="preserve"> </w:t>
      </w:r>
      <w:r>
        <w:t>jsou k dispozici pouze ve 2 městech z 54 měst a obcí (4 %);</w:t>
      </w:r>
    </w:p>
    <w:p w:rsidR="00FD2E42" w:rsidRDefault="00FD2E42" w:rsidP="00A60AC9">
      <w:pPr>
        <w:pStyle w:val="Odstavecseseznamem"/>
        <w:numPr>
          <w:ilvl w:val="0"/>
          <w:numId w:val="29"/>
        </w:numPr>
      </w:pPr>
      <w:r>
        <w:t>střední školy</w:t>
      </w:r>
      <w:r w:rsidR="00400CD5" w:rsidRPr="00400CD5">
        <w:t xml:space="preserve"> - obory středních odborných a praktických škol</w:t>
      </w:r>
      <w:r>
        <w:t xml:space="preserve"> jsou k dispozici pouze ve 2 městech z 54 měst a obcí (4 %);</w:t>
      </w:r>
    </w:p>
    <w:p w:rsidR="00400CD5" w:rsidRDefault="00FD2E42" w:rsidP="00A60AC9">
      <w:pPr>
        <w:pStyle w:val="Odstavecseseznamem"/>
        <w:numPr>
          <w:ilvl w:val="0"/>
          <w:numId w:val="29"/>
        </w:numPr>
      </w:pPr>
      <w:r>
        <w:t>učiliště jsou k dispozici pouze ve 2 městech z 54 měst a obcí (4 %);</w:t>
      </w:r>
    </w:p>
    <w:p w:rsidR="00932231" w:rsidRDefault="008F4433" w:rsidP="00A60AC9">
      <w:pPr>
        <w:pStyle w:val="Odstavecseseznamem"/>
        <w:numPr>
          <w:ilvl w:val="0"/>
          <w:numId w:val="29"/>
        </w:numPr>
      </w:pPr>
      <w:r>
        <w:t>základní umělecké školy</w:t>
      </w:r>
      <w:r w:rsidR="00FD2E42">
        <w:t xml:space="preserve"> jsou k dispozici </w:t>
      </w:r>
      <w:r>
        <w:t xml:space="preserve">ve </w:t>
      </w:r>
      <w:r w:rsidR="00400CD5">
        <w:t>3</w:t>
      </w:r>
      <w:r w:rsidR="00BA5FE0">
        <w:t xml:space="preserve"> z 54 měst a obcí</w:t>
      </w:r>
      <w:r w:rsidR="00932231">
        <w:t xml:space="preserve"> (6 %)</w:t>
      </w:r>
      <w:r w:rsidR="00BA5FE0">
        <w:t>;</w:t>
      </w:r>
    </w:p>
    <w:p w:rsidR="00BA5FE0" w:rsidRDefault="00BA5FE0" w:rsidP="00A60AC9">
      <w:pPr>
        <w:pStyle w:val="Odstavecseseznamem"/>
        <w:numPr>
          <w:ilvl w:val="0"/>
          <w:numId w:val="29"/>
        </w:numPr>
      </w:pPr>
      <w:r>
        <w:t>speciální třídy jsou k dispozici pouze ve 2 městech z 54 měst a obcí (4 %).</w:t>
      </w:r>
    </w:p>
    <w:p w:rsidR="002B2903" w:rsidRDefault="002B2903" w:rsidP="002B2903">
      <w:r>
        <w:t>Z výše uvedených údajů a tabulky je patrné, že obce se snaží zajistit zařízení zejména pro menší děti, zatímco vybavenost obcí zařízeními pro větší děti je přímo úměrná počtu obyvatel. Střední školství je pak k dispozici pouze ve Vysokém Mýtě a v Litomyšli.</w:t>
      </w:r>
    </w:p>
    <w:p w:rsidR="002B2903" w:rsidRDefault="002B2903" w:rsidP="002B2903">
      <w:r>
        <w:lastRenderedPageBreak/>
        <w:t>V oblasti zákla</w:t>
      </w:r>
      <w:r w:rsidR="00F149E2">
        <w:t>dního školství v regionu fungují</w:t>
      </w:r>
      <w:r>
        <w:t xml:space="preserve"> již dlouhodobě příklad</w:t>
      </w:r>
      <w:r w:rsidR="00F149E2">
        <w:t>y dobré meziobecní spolupráce.</w:t>
      </w:r>
      <w:r>
        <w:t xml:space="preserve"> </w:t>
      </w:r>
      <w:r w:rsidR="00F149E2">
        <w:t>Například so</w:t>
      </w:r>
      <w:r>
        <w:t>usední obce Sebranice a Lubná společně zajišťují kompletní ročníky základní školy, přičemž obec Sebranice provozuje první stupeň a obec Lubná zajišťuje jako jediná v regionu pouze druhá stupeň ZŠ. Každý ze stupňů je určen pro děti z obou obcí.</w:t>
      </w:r>
      <w:r w:rsidR="0094466E">
        <w:t xml:space="preserve"> Kromě dobré dostupnosti pro obyvatele z obou obcí při zachování přijatelných provozních výdajů obcí přináší spolupráce také vyšší odolnost vůči populačním vlnám. Základní podmínk</w:t>
      </w:r>
      <w:r w:rsidR="00DB12A9">
        <w:t>o</w:t>
      </w:r>
      <w:r w:rsidR="0094466E">
        <w:t>u dobrého fungování je ale dobré dopravní spojení obou obcí.</w:t>
      </w:r>
      <w:r w:rsidR="00F149E2">
        <w:t xml:space="preserve"> Přík</w:t>
      </w:r>
      <w:r w:rsidR="006C3CD3">
        <w:t>l</w:t>
      </w:r>
      <w:r w:rsidR="00F149E2">
        <w:t>ady podobné spolupráce lze nalézt v mnoha dalších obcích, kde ale zpravidla dochází ke společnému financování jedné školy, která je určena pro děti z více obcí.</w:t>
      </w:r>
      <w:r w:rsidR="0017144F">
        <w:t xml:space="preserve"> Nezbytným předpokladem zde je ale možnost dopravy do školských zařízení z participujících obcí.</w:t>
      </w:r>
    </w:p>
    <w:p w:rsidR="002B2903" w:rsidRDefault="00BA5FE0" w:rsidP="002B2903">
      <w:r>
        <w:t>Poměrně běžné je sloučení MŠ a ZŠ (případně MŠ + první stupeň ZŠ), což přináší úsporu provozních a personálních nákladů a dětem přináší jistou stabilitu.</w:t>
      </w:r>
    </w:p>
    <w:p w:rsidR="00754845" w:rsidRPr="00B530A6" w:rsidRDefault="00754845" w:rsidP="002B2903">
      <w:r>
        <w:t>Dostupnost vzdělávacích zařízení v regionu se v průběhu času nemění. Obcím se daří zařízení různými cestami udržet. Problémem ale zůstává financování rekonstrukcí, oprav a vybavení škol včetně pomůcek, což představuje pro rozpočty malých obcí velkou zátěž. Počet a dostupnost školských zařízení je tedy regionálními aktéry hodnocena lépe než jejich kvalita, která je tvořena rovněž jejich stavem, vybavením, pomůckami...</w:t>
      </w:r>
    </w:p>
    <w:p w:rsidR="00B44F5A" w:rsidRPr="00B44F5A" w:rsidRDefault="00754845" w:rsidP="00B44F5A">
      <w:r>
        <w:t xml:space="preserve">Z hodnocení dostupnosti škol pohledem zástupců obcí vyplývá, že </w:t>
      </w:r>
      <w:r w:rsidR="00B55EFD">
        <w:t>v tomto ohledu panuje u všech rozhodnutých respondentů spokojenost. Podobně je tomu také při hodnocení kvality školských zařízení. V tomto směru však bude pravděpodobně objektivnější pohled uživatelů, tedy obyvatel obcí (viz níže).</w:t>
      </w:r>
      <w:r w:rsidR="00B55EFD">
        <w:rPr>
          <w:rStyle w:val="Znakapoznpodarou"/>
        </w:rPr>
        <w:footnoteReference w:id="36"/>
      </w:r>
    </w:p>
    <w:p w:rsidR="00B44F5A" w:rsidRDefault="00B44F5A" w:rsidP="000922FE">
      <w:r w:rsidRPr="00B44F5A">
        <w:rPr>
          <w:noProof/>
          <w:lang w:eastAsia="cs-CZ"/>
        </w:rPr>
        <w:lastRenderedPageBreak/>
        <w:drawing>
          <wp:inline distT="0" distB="0" distL="0" distR="0">
            <wp:extent cx="2702885" cy="2041451"/>
            <wp:effectExtent l="19050" t="0" r="21265" b="0"/>
            <wp:docPr id="21"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B44F5A">
        <w:rPr>
          <w:noProof/>
          <w:lang w:eastAsia="cs-CZ"/>
        </w:rPr>
        <w:drawing>
          <wp:inline distT="0" distB="0" distL="0" distR="0">
            <wp:extent cx="2798578" cy="2041451"/>
            <wp:effectExtent l="19050" t="0" r="20822" b="0"/>
            <wp:docPr id="22"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D2DFF" w:rsidRDefault="00BD2DFF" w:rsidP="000922FE">
      <w:r>
        <w:t>Oba grafy znázorňují pohled zástupců obcí.</w:t>
      </w:r>
    </w:p>
    <w:p w:rsidR="00F56E68" w:rsidRDefault="00F56E68" w:rsidP="00F56E68">
      <w:r>
        <w:t>Mezi obyvateli již byly aspekty regionálního školství hodnoceny poněkud přísněji a negativněji. Přesto zůstává dostupnost škol hodnocena negativně pouze u 6 % dotázaných a pozitivně 87 % dotázaných. Při hodnocení kvality školských zařízení již pozitivně odpovědělo jen 75 % dotázaných a negativně 13 % dotázaných.</w:t>
      </w:r>
    </w:p>
    <w:p w:rsidR="00132EED" w:rsidRDefault="00754845" w:rsidP="000922FE">
      <w:r w:rsidRPr="00754845">
        <w:rPr>
          <w:noProof/>
          <w:lang w:eastAsia="cs-CZ"/>
        </w:rPr>
        <w:drawing>
          <wp:inline distT="0" distB="0" distL="0" distR="0">
            <wp:extent cx="2747631" cy="1956391"/>
            <wp:effectExtent l="19050" t="0" r="14619" b="5759"/>
            <wp:docPr id="2"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132EED" w:rsidRPr="00132EED">
        <w:rPr>
          <w:noProof/>
          <w:lang w:eastAsia="cs-CZ"/>
        </w:rPr>
        <w:drawing>
          <wp:inline distT="0" distB="0" distL="0" distR="0">
            <wp:extent cx="2756358" cy="1961308"/>
            <wp:effectExtent l="19050" t="0" r="24942" b="842"/>
            <wp:docPr id="41"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D2DFF" w:rsidRDefault="00BD2DFF" w:rsidP="00BD2DFF">
      <w:r>
        <w:t>Oba grafy znázorňují pohled obyvatel.</w:t>
      </w:r>
    </w:p>
    <w:p w:rsidR="00F56E68" w:rsidRDefault="00F56E68" w:rsidP="000922FE">
      <w:r>
        <w:t>Celkově z faktů a regionálního šetření vyplývá, že přes nízkou penetraci školskými zařízeními je jejich dostupnost hodnocena jako dobrá, zatímco jejich kvalita je hodnocena o něco hůře.</w:t>
      </w:r>
    </w:p>
    <w:p w:rsidR="00013B51" w:rsidRDefault="00013B51" w:rsidP="00013B51">
      <w:pPr>
        <w:pStyle w:val="Nadpis5"/>
      </w:pPr>
      <w:r>
        <w:t>Začleňování znevýhodněných osob</w:t>
      </w:r>
    </w:p>
    <w:p w:rsidR="00013B51" w:rsidRDefault="00013B51" w:rsidP="000922FE">
      <w:r>
        <w:t xml:space="preserve">V regionu jsou pouze školy ve městech Litomyšl a Vysoké Mýto, které disponují speciálními třídami a školními psychology. </w:t>
      </w:r>
    </w:p>
    <w:p w:rsidR="00667ED6" w:rsidRDefault="00667ED6" w:rsidP="000922FE">
      <w:r>
        <w:lastRenderedPageBreak/>
        <w:t>Přibližně polovina škol v regionu pak disponuje asistenty pedagoga, kteří usnadňují výuku konkrétním žákům se specifickými vzdělávacími potřebami nebo zdravotním znevýhodněním.</w:t>
      </w:r>
    </w:p>
    <w:p w:rsidR="00667ED6" w:rsidRDefault="00667ED6" w:rsidP="000922FE">
      <w:r>
        <w:t>Všechny školy pak mají svého výchovného poradce.</w:t>
      </w:r>
    </w:p>
    <w:p w:rsidR="007566A0" w:rsidRDefault="007566A0" w:rsidP="007566A0">
      <w:pPr>
        <w:pStyle w:val="Nadpis5"/>
      </w:pPr>
      <w:r>
        <w:t>Financování školských zařízení</w:t>
      </w:r>
    </w:p>
    <w:p w:rsidR="007566A0" w:rsidRDefault="007566A0" w:rsidP="000922FE">
      <w:r>
        <w:t>Školská zařízení v regionu jsou zpravidla finan</w:t>
      </w:r>
      <w:r w:rsidR="002C0245">
        <w:t>cována ze tří základních zdrojů</w:t>
      </w:r>
    </w:p>
    <w:p w:rsidR="007566A0" w:rsidRDefault="002C0245" w:rsidP="00A60AC9">
      <w:pPr>
        <w:pStyle w:val="Odstavecseseznamem"/>
        <w:numPr>
          <w:ilvl w:val="0"/>
          <w:numId w:val="31"/>
        </w:numPr>
      </w:pPr>
      <w:r>
        <w:t>P</w:t>
      </w:r>
      <w:r w:rsidR="007566A0">
        <w:t>rostředky od Ministerstva šk</w:t>
      </w:r>
      <w:r>
        <w:t>olství mládeže a tělovýchovy ČR, které pokrývají zejména mzdové výdaje škol.</w:t>
      </w:r>
    </w:p>
    <w:p w:rsidR="007566A0" w:rsidRDefault="002C0245" w:rsidP="00A60AC9">
      <w:pPr>
        <w:pStyle w:val="Odstavecseseznamem"/>
        <w:numPr>
          <w:ilvl w:val="0"/>
          <w:numId w:val="31"/>
        </w:numPr>
      </w:pPr>
      <w:r>
        <w:t>Prostředky z rozpočtu zřizovatele plynoucí především na investice do školních budov, pomůcek a vybavení tříd.</w:t>
      </w:r>
    </w:p>
    <w:p w:rsidR="002C0245" w:rsidRDefault="002C0245" w:rsidP="00A60AC9">
      <w:pPr>
        <w:pStyle w:val="Odstavecseseznamem"/>
        <w:numPr>
          <w:ilvl w:val="0"/>
          <w:numId w:val="31"/>
        </w:numPr>
      </w:pPr>
      <w:r>
        <w:t>Prostředky ze Strukturálních fondů EU, které jsou využívány na:</w:t>
      </w:r>
    </w:p>
    <w:p w:rsidR="002C0245" w:rsidRDefault="002C0245" w:rsidP="00A60AC9">
      <w:pPr>
        <w:pStyle w:val="Odstavecseseznamem"/>
        <w:numPr>
          <w:ilvl w:val="1"/>
          <w:numId w:val="31"/>
        </w:numPr>
      </w:pPr>
      <w:r>
        <w:t>větší investice (např. stavební úpravy budov, zateplení...);</w:t>
      </w:r>
    </w:p>
    <w:p w:rsidR="002C0245" w:rsidRDefault="002C0245" w:rsidP="00A60AC9">
      <w:pPr>
        <w:pStyle w:val="Odstavecseseznamem"/>
        <w:numPr>
          <w:ilvl w:val="1"/>
          <w:numId w:val="31"/>
        </w:numPr>
      </w:pPr>
      <w:r>
        <w:t>menší projekty na vzdělávání nebo specifickou a individuální výuku;</w:t>
      </w:r>
    </w:p>
    <w:p w:rsidR="002C0245" w:rsidRDefault="002C0245" w:rsidP="00A60AC9">
      <w:pPr>
        <w:pStyle w:val="Odstavecseseznamem"/>
        <w:numPr>
          <w:ilvl w:val="1"/>
          <w:numId w:val="31"/>
        </w:numPr>
      </w:pPr>
      <w:r>
        <w:t>profesní růst a zvyšování kvalifikace pedagogů.</w:t>
      </w:r>
    </w:p>
    <w:p w:rsidR="00DE0600" w:rsidRDefault="00DE0600" w:rsidP="00DE0600">
      <w:r>
        <w:t>Ve všech oblastech jsou školská zařízení závislá na externích zdrojích financování a při výpadku jakéhokoli ze zdrojů by školy čelily existenčním potížím (při výpadku prostředků na mzdové náklady by došlo k rychlému zániku, při výpadku investičních prostředků by došlo k zániku v dlouhodobějším horizontu). Rovněž stoupá náročnost na rozpočty zřizovatelů (zejména tedy obcí), pro které vzhledem k relativní „malosti“ projektu (</w:t>
      </w:r>
      <w:r w:rsidR="00B96F0E">
        <w:t>u malých obcí</w:t>
      </w:r>
      <w:r>
        <w:t>)</w:t>
      </w:r>
      <w:r w:rsidR="00B96F0E">
        <w:t xml:space="preserve"> není běžně možné využít dotací ze Strukturálních fondů EU a přitom představují často nereálnou zátěž pro rozpočet</w:t>
      </w:r>
      <w:r w:rsidR="00C26FA8">
        <w:t xml:space="preserve"> zařízení i zřizovatele</w:t>
      </w:r>
      <w:r w:rsidR="00B96F0E">
        <w:t>. Jde o projekty v řádech statisíců až max. jednotek milionů, kde by CLLD měla jistě své uplatnění.</w:t>
      </w:r>
    </w:p>
    <w:p w:rsidR="001F0DA4" w:rsidRDefault="001F0DA4" w:rsidP="001F0DA4">
      <w:pPr>
        <w:pStyle w:val="Nadpis4"/>
      </w:pPr>
      <w:r>
        <w:t>Mimoškolní aktivity</w:t>
      </w:r>
    </w:p>
    <w:p w:rsidR="009E410A" w:rsidRDefault="009E410A" w:rsidP="00056CA5">
      <w:r w:rsidRPr="009E410A">
        <w:t>Střediska volného času fungují pouze v Litomyšli a ve Vysokém Mýtě.</w:t>
      </w:r>
      <w:r w:rsidR="00016257">
        <w:t xml:space="preserve"> V případě zařazení ZUŠ do této kategorie, je možné započítat také obec Dolní újezd.</w:t>
      </w:r>
      <w:r w:rsidR="00932231">
        <w:t xml:space="preserve"> Dále mají základní umělecké školy několik poboček ve větších obcích, kde provozují některé ze svých </w:t>
      </w:r>
      <w:r w:rsidR="00932231">
        <w:lastRenderedPageBreak/>
        <w:t>vybraných aktivit (dle realizovaného průzkumu je ZUŠ nebo její vybrané aktivity k dispozici v 9 % obcí).</w:t>
      </w:r>
    </w:p>
    <w:p w:rsidR="00B067C7" w:rsidRDefault="0071095B" w:rsidP="00056CA5">
      <w:r>
        <w:t>Školní družiny nebo jiné formy mimoško</w:t>
      </w:r>
      <w:r w:rsidR="00504E63">
        <w:t>lní péče o děti fungují při každé základní škole v regionu. To znamená, že školní družiny nebo podobná zařízení umožňující sloučit rodinný a pracovní život fungují ve 23 městech a obcích (tj. 42 %</w:t>
      </w:r>
      <w:r w:rsidR="00B067C7">
        <w:t>).</w:t>
      </w:r>
    </w:p>
    <w:p w:rsidR="0071095B" w:rsidRDefault="00B067C7" w:rsidP="00056CA5">
      <w:r>
        <w:t>Každá mateřská i základní škola má rovněž zajištěné stravování žáků, a to buď vlastními silami nebo prostřednictvím externích subjektů</w:t>
      </w:r>
    </w:p>
    <w:p w:rsidR="00291A89" w:rsidRPr="009E410A" w:rsidRDefault="00291A89" w:rsidP="00056CA5">
      <w:r>
        <w:t>Nabídka mimoškolních aktivit je hodnocena jako dostatečná, nicméně je třeba udržet případně mírně zvýšit kvalitu (zejména vybavení).</w:t>
      </w:r>
    </w:p>
    <w:p w:rsidR="001F0DA4" w:rsidRPr="001F0DA4" w:rsidRDefault="001F0DA4" w:rsidP="00864BAF">
      <w:pPr>
        <w:pStyle w:val="Nadpis4"/>
      </w:pPr>
      <w:r w:rsidRPr="001F0DA4">
        <w:t>Vzdělávání dospělých a seniorů</w:t>
      </w:r>
    </w:p>
    <w:p w:rsidR="0063129A" w:rsidRDefault="0063129A" w:rsidP="0063129A">
      <w:r w:rsidRPr="0063129A">
        <w:t>V</w:t>
      </w:r>
      <w:r>
        <w:t>zdělávání dospělých v běžných oborech zajišťují soukromé subjekty v Litomyšli a Vysokém Mýtě. Tyto subjekty využívají ke svému financování často prostředků ze Strukturálních fondů EU.</w:t>
      </w:r>
    </w:p>
    <w:p w:rsidR="0063129A" w:rsidRPr="0063129A" w:rsidRDefault="0063129A" w:rsidP="0063129A">
      <w:r>
        <w:t xml:space="preserve">Dále v obci České Heřmanice zahájila činnost </w:t>
      </w:r>
      <w:r w:rsidR="0015146D">
        <w:t>Komunitní škola České Heřmanice, k</w:t>
      </w:r>
      <w:r w:rsidR="00361059">
        <w:t>d</w:t>
      </w:r>
      <w:r w:rsidR="0015146D">
        <w:t>e ale je vzdělávání financováno především z prostředků vzdělávaných osob.</w:t>
      </w:r>
    </w:p>
    <w:p w:rsidR="00056CA5" w:rsidRPr="0015146D" w:rsidRDefault="0015146D" w:rsidP="0015146D">
      <w:r w:rsidRPr="0015146D">
        <w:t>Dále v regionu působí zejména neziskové subjekty, obce, obecní knihovny atd.</w:t>
      </w:r>
      <w:r w:rsidR="00073509">
        <w:t>,</w:t>
      </w:r>
      <w:r w:rsidRPr="0015146D">
        <w:t xml:space="preserve"> které pořádají převážně ojedinělé a úzce zaměřené přednášky, kurzy a besedy.</w:t>
      </w:r>
    </w:p>
    <w:p w:rsidR="001F0DA4" w:rsidRDefault="00A1545A" w:rsidP="00864BAF">
      <w:pPr>
        <w:pStyle w:val="Nadpis4"/>
      </w:pPr>
      <w:r>
        <w:t>SWOT a opatření</w:t>
      </w:r>
    </w:p>
    <w:tbl>
      <w:tblPr>
        <w:tblStyle w:val="Mkatabulky"/>
        <w:tblW w:w="0" w:type="auto"/>
        <w:tblLook w:val="04A0"/>
      </w:tblPr>
      <w:tblGrid>
        <w:gridCol w:w="4606"/>
        <w:gridCol w:w="4606"/>
      </w:tblGrid>
      <w:tr w:rsidR="008617FF" w:rsidTr="00B55EFD">
        <w:trPr>
          <w:cantSplit/>
        </w:trPr>
        <w:tc>
          <w:tcPr>
            <w:tcW w:w="4606" w:type="dxa"/>
            <w:shd w:val="clear" w:color="auto" w:fill="D6E3BC" w:themeFill="accent3" w:themeFillTint="66"/>
          </w:tcPr>
          <w:p w:rsidR="008617FF" w:rsidRPr="000F7E1C" w:rsidRDefault="008617FF" w:rsidP="00B55EFD">
            <w:pPr>
              <w:rPr>
                <w:b/>
              </w:rPr>
            </w:pPr>
            <w:r w:rsidRPr="000F7E1C">
              <w:rPr>
                <w:b/>
              </w:rPr>
              <w:t>S „Silné stránky“</w:t>
            </w:r>
          </w:p>
        </w:tc>
        <w:tc>
          <w:tcPr>
            <w:tcW w:w="4606" w:type="dxa"/>
            <w:shd w:val="clear" w:color="auto" w:fill="FBD4B4" w:themeFill="accent6" w:themeFillTint="66"/>
          </w:tcPr>
          <w:p w:rsidR="008617FF" w:rsidRPr="000F7E1C" w:rsidRDefault="008617FF" w:rsidP="00B55EFD">
            <w:pPr>
              <w:rPr>
                <w:b/>
              </w:rPr>
            </w:pPr>
            <w:r w:rsidRPr="000F7E1C">
              <w:rPr>
                <w:b/>
              </w:rPr>
              <w:t>W „Slabé stránky“</w:t>
            </w:r>
          </w:p>
        </w:tc>
      </w:tr>
      <w:tr w:rsidR="008617FF" w:rsidTr="00B55EFD">
        <w:trPr>
          <w:cantSplit/>
          <w:trHeight w:val="2309"/>
        </w:trPr>
        <w:tc>
          <w:tcPr>
            <w:tcW w:w="4606" w:type="dxa"/>
            <w:shd w:val="clear" w:color="auto" w:fill="EAF1DD" w:themeFill="accent3" w:themeFillTint="33"/>
          </w:tcPr>
          <w:p w:rsidR="008617FF" w:rsidRDefault="008617FF" w:rsidP="00A60AC9">
            <w:pPr>
              <w:pStyle w:val="Odstavecseseznamem"/>
              <w:numPr>
                <w:ilvl w:val="0"/>
                <w:numId w:val="7"/>
              </w:numPr>
            </w:pPr>
            <w:r>
              <w:t>Dostupnost zařízení a vysoká podpora</w:t>
            </w:r>
            <w:r w:rsidR="00291A89">
              <w:t xml:space="preserve"> zřizovatelů i obyvatel</w:t>
            </w:r>
            <w:r w:rsidR="008B203D">
              <w:t>.</w:t>
            </w:r>
          </w:p>
          <w:p w:rsidR="00291A89" w:rsidRDefault="00291A89" w:rsidP="00A60AC9">
            <w:pPr>
              <w:pStyle w:val="Odstavecseseznamem"/>
              <w:numPr>
                <w:ilvl w:val="0"/>
                <w:numId w:val="7"/>
              </w:numPr>
            </w:pPr>
            <w:r>
              <w:t xml:space="preserve">Začleňování znevýhodněných osob do školství alespoň ve </w:t>
            </w:r>
            <w:r w:rsidR="008B203D">
              <w:t>větších školách.</w:t>
            </w:r>
          </w:p>
        </w:tc>
        <w:tc>
          <w:tcPr>
            <w:tcW w:w="4606" w:type="dxa"/>
            <w:shd w:val="clear" w:color="auto" w:fill="FDE9D9" w:themeFill="accent6" w:themeFillTint="33"/>
          </w:tcPr>
          <w:p w:rsidR="007E0986" w:rsidRDefault="008617FF" w:rsidP="00A60AC9">
            <w:pPr>
              <w:pStyle w:val="Odstavecseseznamem"/>
              <w:numPr>
                <w:ilvl w:val="0"/>
                <w:numId w:val="7"/>
              </w:numPr>
            </w:pPr>
            <w:r>
              <w:t>Závislost zařízení na rozpočtech obcí</w:t>
            </w:r>
          </w:p>
          <w:p w:rsidR="002A1C6E" w:rsidRDefault="00F56E68" w:rsidP="00A60AC9">
            <w:pPr>
              <w:pStyle w:val="Odstavecseseznamem"/>
              <w:numPr>
                <w:ilvl w:val="0"/>
                <w:numId w:val="7"/>
              </w:numPr>
            </w:pPr>
            <w:r>
              <w:t xml:space="preserve">Závislost dostupnosti </w:t>
            </w:r>
            <w:r w:rsidR="00291A89">
              <w:t xml:space="preserve">školských </w:t>
            </w:r>
            <w:r>
              <w:t xml:space="preserve">zařízení </w:t>
            </w:r>
            <w:r w:rsidR="002B49D7">
              <w:t>na dopravě</w:t>
            </w:r>
            <w:r w:rsidR="008B203D">
              <w:t>.</w:t>
            </w:r>
          </w:p>
          <w:p w:rsidR="008715B1" w:rsidRDefault="002A1C6E" w:rsidP="00A60AC9">
            <w:pPr>
              <w:pStyle w:val="Odstavecseseznamem"/>
              <w:numPr>
                <w:ilvl w:val="0"/>
                <w:numId w:val="7"/>
              </w:numPr>
            </w:pPr>
            <w:r>
              <w:t>Negativní sociální jevy (morálka, šikana, agresivita, malý zájem rodičů o děti a jejich vzdělávání)</w:t>
            </w:r>
            <w:r w:rsidR="008715B1">
              <w:t>.</w:t>
            </w:r>
          </w:p>
        </w:tc>
      </w:tr>
      <w:tr w:rsidR="008617FF" w:rsidTr="00B55EFD">
        <w:trPr>
          <w:cantSplit/>
        </w:trPr>
        <w:tc>
          <w:tcPr>
            <w:tcW w:w="4606" w:type="dxa"/>
            <w:shd w:val="clear" w:color="auto" w:fill="B8CCE4" w:themeFill="accent1" w:themeFillTint="66"/>
          </w:tcPr>
          <w:p w:rsidR="008617FF" w:rsidRPr="000F7E1C" w:rsidRDefault="008617FF" w:rsidP="00B55EFD">
            <w:pPr>
              <w:rPr>
                <w:b/>
              </w:rPr>
            </w:pPr>
            <w:r w:rsidRPr="000F7E1C">
              <w:rPr>
                <w:b/>
              </w:rPr>
              <w:t>O „Příležitosti“</w:t>
            </w:r>
          </w:p>
        </w:tc>
        <w:tc>
          <w:tcPr>
            <w:tcW w:w="4606" w:type="dxa"/>
            <w:shd w:val="clear" w:color="auto" w:fill="E5B8B7" w:themeFill="accent2" w:themeFillTint="66"/>
          </w:tcPr>
          <w:p w:rsidR="008617FF" w:rsidRPr="000F7E1C" w:rsidRDefault="008617FF" w:rsidP="00B55EFD">
            <w:pPr>
              <w:rPr>
                <w:b/>
              </w:rPr>
            </w:pPr>
            <w:r w:rsidRPr="000F7E1C">
              <w:rPr>
                <w:b/>
              </w:rPr>
              <w:t>T „Hrozby“</w:t>
            </w:r>
          </w:p>
        </w:tc>
      </w:tr>
      <w:tr w:rsidR="008617FF" w:rsidTr="00B55EFD">
        <w:trPr>
          <w:cantSplit/>
          <w:trHeight w:val="2829"/>
        </w:trPr>
        <w:tc>
          <w:tcPr>
            <w:tcW w:w="4606" w:type="dxa"/>
            <w:shd w:val="clear" w:color="auto" w:fill="DBE5F1" w:themeFill="accent1" w:themeFillTint="33"/>
          </w:tcPr>
          <w:p w:rsidR="008617FF" w:rsidRDefault="002A1C6E" w:rsidP="00A60AC9">
            <w:pPr>
              <w:pStyle w:val="Odstavecseseznamem"/>
              <w:numPr>
                <w:ilvl w:val="0"/>
                <w:numId w:val="33"/>
              </w:numPr>
            </w:pPr>
            <w:r>
              <w:lastRenderedPageBreak/>
              <w:t>Spolupráce mezi zřizovateli (obcemi).</w:t>
            </w:r>
          </w:p>
          <w:p w:rsidR="002A1C6E" w:rsidRDefault="002A1C6E" w:rsidP="00A60AC9">
            <w:pPr>
              <w:pStyle w:val="Odstavecseseznamem"/>
              <w:numPr>
                <w:ilvl w:val="0"/>
                <w:numId w:val="33"/>
              </w:numPr>
            </w:pPr>
            <w:r>
              <w:t xml:space="preserve">Zvyšování </w:t>
            </w:r>
            <w:r w:rsidR="007F09E9">
              <w:t>statutu</w:t>
            </w:r>
            <w:r>
              <w:t xml:space="preserve"> pedagogických pracovníků.</w:t>
            </w:r>
          </w:p>
          <w:p w:rsidR="002A1C6E" w:rsidRDefault="002A1C6E" w:rsidP="00A60AC9">
            <w:pPr>
              <w:pStyle w:val="Odstavecseseznamem"/>
              <w:numPr>
                <w:ilvl w:val="0"/>
                <w:numId w:val="33"/>
              </w:numPr>
            </w:pPr>
            <w:r>
              <w:t>Zapojení školních psychologů.</w:t>
            </w:r>
          </w:p>
          <w:p w:rsidR="002A1C6E" w:rsidRDefault="002A1C6E" w:rsidP="00A60AC9">
            <w:pPr>
              <w:pStyle w:val="Odstavecseseznamem"/>
              <w:numPr>
                <w:ilvl w:val="0"/>
                <w:numId w:val="33"/>
              </w:numPr>
            </w:pPr>
            <w:r>
              <w:t>Nové zajímavé technologie zapojované do výuky.</w:t>
            </w:r>
          </w:p>
          <w:p w:rsidR="002A1C6E" w:rsidRDefault="002A1C6E" w:rsidP="00A60AC9">
            <w:pPr>
              <w:pStyle w:val="Odstavecseseznamem"/>
              <w:numPr>
                <w:ilvl w:val="0"/>
                <w:numId w:val="33"/>
              </w:numPr>
            </w:pPr>
            <w:r>
              <w:t>Vznik nových typů škol s alternativními přístupy k výuce.</w:t>
            </w:r>
          </w:p>
          <w:p w:rsidR="009F09EB" w:rsidRDefault="009F09EB" w:rsidP="00A60AC9">
            <w:pPr>
              <w:pStyle w:val="Odstavecseseznamem"/>
              <w:numPr>
                <w:ilvl w:val="0"/>
                <w:numId w:val="33"/>
              </w:numPr>
            </w:pPr>
            <w:r>
              <w:t>Dop</w:t>
            </w:r>
            <w:r w:rsidR="000F3C2A">
              <w:t>l</w:t>
            </w:r>
            <w:r>
              <w:t>ňová</w:t>
            </w:r>
            <w:r w:rsidR="000F3C2A">
              <w:t>ní výuky navazujícími výchovným</w:t>
            </w:r>
            <w:r>
              <w:t>i a zájmovými programy v obcích.</w:t>
            </w:r>
          </w:p>
        </w:tc>
        <w:tc>
          <w:tcPr>
            <w:tcW w:w="4606" w:type="dxa"/>
            <w:shd w:val="clear" w:color="auto" w:fill="F2DBDB" w:themeFill="accent2" w:themeFillTint="33"/>
          </w:tcPr>
          <w:p w:rsidR="008617FF" w:rsidRDefault="002A1C6E" w:rsidP="00A60AC9">
            <w:pPr>
              <w:pStyle w:val="Odstavecseseznamem"/>
              <w:numPr>
                <w:ilvl w:val="0"/>
                <w:numId w:val="32"/>
              </w:numPr>
            </w:pPr>
            <w:r>
              <w:t>Populační vlny ohrožující zejména malé školy.</w:t>
            </w:r>
          </w:p>
          <w:p w:rsidR="002A1C6E" w:rsidRDefault="002A1C6E" w:rsidP="00A60AC9">
            <w:pPr>
              <w:pStyle w:val="Odstavecseseznamem"/>
              <w:numPr>
                <w:ilvl w:val="0"/>
                <w:numId w:val="32"/>
              </w:numPr>
            </w:pPr>
            <w:r>
              <w:t>Případné omezení dopravy soukromými dopravci by znamenalo snížení dostupnosti školských zařízení.</w:t>
            </w:r>
          </w:p>
          <w:p w:rsidR="007E0986" w:rsidRDefault="007E0986" w:rsidP="00A60AC9">
            <w:pPr>
              <w:pStyle w:val="Odstavecseseznamem"/>
              <w:numPr>
                <w:ilvl w:val="0"/>
                <w:numId w:val="32"/>
              </w:numPr>
            </w:pPr>
            <w:r>
              <w:t>Stárnoucí budovy a vybavení vesnických škol a související nároky na obecní rozpočty.</w:t>
            </w:r>
          </w:p>
        </w:tc>
      </w:tr>
    </w:tbl>
    <w:p w:rsidR="00864BAF" w:rsidRDefault="00864BAF" w:rsidP="00864BAF"/>
    <w:p w:rsidR="008715B1" w:rsidRDefault="008715B1" w:rsidP="00A60AC9">
      <w:pPr>
        <w:pStyle w:val="Odstavecseseznamem"/>
        <w:numPr>
          <w:ilvl w:val="0"/>
          <w:numId w:val="32"/>
        </w:numPr>
      </w:pPr>
      <w:r>
        <w:t>Řada slabých stránek a hrozeb koresponduje s požadavky školských zařízení zjištěných šetřením a schůzkami v regionu. Zástupci školských zařízení uváděli své potřeby, které byly následně zobecněny do následujících kategorií projektů (pořadí dle důležitosti a četnosti):</w:t>
      </w:r>
    </w:p>
    <w:p w:rsidR="00A30520" w:rsidRDefault="002713FF" w:rsidP="00A60AC9">
      <w:pPr>
        <w:pStyle w:val="Odstavecseseznamem"/>
        <w:numPr>
          <w:ilvl w:val="0"/>
          <w:numId w:val="30"/>
        </w:numPr>
      </w:pPr>
      <w:r>
        <w:t>Základní vybavení tříd</w:t>
      </w:r>
    </w:p>
    <w:p w:rsidR="0086095A" w:rsidRDefault="0086095A" w:rsidP="00A60AC9">
      <w:pPr>
        <w:pStyle w:val="Odstavecseseznamem"/>
        <w:numPr>
          <w:ilvl w:val="0"/>
          <w:numId w:val="30"/>
        </w:numPr>
      </w:pPr>
      <w:r>
        <w:t>Vybavení specializovaných učeben (IT, praktické a umělecké předměty, jazyky...)</w:t>
      </w:r>
    </w:p>
    <w:p w:rsidR="002713FF" w:rsidRDefault="002713FF" w:rsidP="00A60AC9">
      <w:pPr>
        <w:pStyle w:val="Odstavecseseznamem"/>
        <w:numPr>
          <w:ilvl w:val="0"/>
          <w:numId w:val="30"/>
        </w:numPr>
      </w:pPr>
      <w:r>
        <w:t>Stavební úpravy</w:t>
      </w:r>
    </w:p>
    <w:p w:rsidR="002713FF" w:rsidRDefault="002B1AC5" w:rsidP="00A60AC9">
      <w:pPr>
        <w:pStyle w:val="Odstavecseseznamem"/>
        <w:numPr>
          <w:ilvl w:val="0"/>
          <w:numId w:val="30"/>
        </w:numPr>
      </w:pPr>
      <w:r>
        <w:t>V</w:t>
      </w:r>
      <w:r w:rsidR="002713FF">
        <w:t>zdělávací projekty</w:t>
      </w:r>
    </w:p>
    <w:p w:rsidR="0086095A" w:rsidRDefault="0086095A" w:rsidP="00A60AC9">
      <w:pPr>
        <w:pStyle w:val="Odstavecseseznamem"/>
        <w:numPr>
          <w:ilvl w:val="0"/>
          <w:numId w:val="30"/>
        </w:numPr>
      </w:pPr>
      <w:r>
        <w:t>Investice do tělocvičen.</w:t>
      </w:r>
    </w:p>
    <w:p w:rsidR="00C95CAE" w:rsidRDefault="00C95CAE" w:rsidP="00C95CAE">
      <w:pPr>
        <w:pStyle w:val="Odstavecseseznamem"/>
        <w:ind w:left="720"/>
      </w:pPr>
    </w:p>
    <w:p w:rsidR="00C95CAE" w:rsidRDefault="00C95CAE" w:rsidP="00A60AC9">
      <w:pPr>
        <w:pStyle w:val="Odstavecseseznamem"/>
        <w:numPr>
          <w:ilvl w:val="0"/>
          <w:numId w:val="35"/>
        </w:numPr>
      </w:pPr>
      <w:r>
        <w:t>Potíže s financováním školských zařízení může být řešena následujícími způsoby.</w:t>
      </w:r>
    </w:p>
    <w:p w:rsidR="00C95CAE" w:rsidRDefault="00C95CAE" w:rsidP="00A60AC9">
      <w:pPr>
        <w:pStyle w:val="Odstavecseseznamem"/>
        <w:numPr>
          <w:ilvl w:val="1"/>
          <w:numId w:val="31"/>
        </w:numPr>
      </w:pPr>
      <w:r>
        <w:t xml:space="preserve">Zlepšením využívání prostředků Strukturálních fondů EU. Toto by bylo možné podpořit zvýšením informovanosti pracovníků školských zařízení. Vhodnou </w:t>
      </w:r>
      <w:r>
        <w:lastRenderedPageBreak/>
        <w:t xml:space="preserve">cestou může být například </w:t>
      </w:r>
      <w:r w:rsidR="0075424F">
        <w:t>vyčlenění zaměstnance (např. v MAS Litomyšlsko o.p.s.</w:t>
      </w:r>
      <w:r w:rsidR="009133A4">
        <w:t>, sdílený pracovní úvazek několika školami...</w:t>
      </w:r>
      <w:r w:rsidR="0075424F">
        <w:t>), který by působil jako informativní, poradní a administrativní orgán pro všechny školy v regionu v oblasti dotací, což by snížilo nároky na zaměstnance školských zařízení, snížilo rizika chyb při administraci dotací (tím také finančních potíží) a snížila riziky plynoucí ze špatného výběru poradenské firmy pro administraci dotací.</w:t>
      </w:r>
    </w:p>
    <w:p w:rsidR="00C95CAE" w:rsidRDefault="0075424F" w:rsidP="00A60AC9">
      <w:pPr>
        <w:pStyle w:val="Odstavecseseznamem"/>
        <w:numPr>
          <w:ilvl w:val="1"/>
          <w:numId w:val="31"/>
        </w:numPr>
      </w:pPr>
      <w:r>
        <w:t>Snižování finančních nároků zejména na obecní rozpočty pak mohou pomoci projekty dobrovolné spolupráce, které jsou ale většinou podmíněné dobře fungující dopravou. Častou cestou je slučov</w:t>
      </w:r>
      <w:r w:rsidR="006C3CD3">
        <w:t>ání ZŠ a MŠ v malých obcích. Obě</w:t>
      </w:r>
      <w:r>
        <w:t xml:space="preserve"> tyto cesty také zvyšují odolnost proti populačním vlnám.</w:t>
      </w:r>
    </w:p>
    <w:p w:rsidR="00C95CAE" w:rsidRDefault="00C95CAE" w:rsidP="00A60AC9">
      <w:pPr>
        <w:pStyle w:val="Odstavecseseznamem"/>
        <w:numPr>
          <w:ilvl w:val="0"/>
          <w:numId w:val="34"/>
        </w:numPr>
      </w:pPr>
      <w:r>
        <w:t>Zajištění dostupnosti školských zařízení v malých obcích je nezbytné zajistit udržením alespoň udržením současné úrovně dopravy nebo nahrazením případných výpadků v důsledku ztrátovosti spoje nebo změnou priorit soukromých dopravců.</w:t>
      </w:r>
      <w:r w:rsidR="00461651">
        <w:t xml:space="preserve"> Jako možná alternativa se jeví budování cyklostezek se zaměřením na dopravu dětí mezi obcemi do školských zařízení. Efekty této varianty by bylo snížení závislosti na veřejné dopravě, ke zvýšení časové flexibility a oddělením od motorové dopravy by došlo ke zvýšení bezpečnosti dětí.</w:t>
      </w:r>
    </w:p>
    <w:p w:rsidR="009A40E4" w:rsidRDefault="0075424F" w:rsidP="00A60AC9">
      <w:pPr>
        <w:pStyle w:val="Odstavecseseznamem"/>
        <w:numPr>
          <w:ilvl w:val="0"/>
          <w:numId w:val="34"/>
        </w:numPr>
      </w:pPr>
      <w:r>
        <w:t>Negativní sociální vlivy</w:t>
      </w:r>
      <w:r w:rsidR="00461651">
        <w:t xml:space="preserve"> (zejména chování dětí)</w:t>
      </w:r>
      <w:r w:rsidR="005117B5">
        <w:t xml:space="preserve"> jsou obtížně řešitelným problémem s efekty, které se projevují </w:t>
      </w:r>
      <w:r w:rsidR="009A40E4">
        <w:t xml:space="preserve">zpravidla až </w:t>
      </w:r>
      <w:r w:rsidR="005117B5">
        <w:t>po dlouhé době.</w:t>
      </w:r>
    </w:p>
    <w:p w:rsidR="0075424F" w:rsidRDefault="009A40E4" w:rsidP="00A60AC9">
      <w:pPr>
        <w:pStyle w:val="Odstavecseseznamem"/>
        <w:numPr>
          <w:ilvl w:val="1"/>
          <w:numId w:val="34"/>
        </w:numPr>
      </w:pPr>
      <w:r>
        <w:t xml:space="preserve">Na úrovni školských zařízení může pomoci větší zapojení školních psychologů, které v menších obcích mohou působit např. jako zaměstnanci některé z velkých </w:t>
      </w:r>
      <w:r w:rsidR="00156A3F">
        <w:t>š</w:t>
      </w:r>
      <w:r>
        <w:t>kol nebo opět na sdílený úvazek více školami.</w:t>
      </w:r>
    </w:p>
    <w:p w:rsidR="009A40E4" w:rsidRDefault="009A40E4" w:rsidP="00A60AC9">
      <w:pPr>
        <w:pStyle w:val="Odstavecseseznamem"/>
        <w:numPr>
          <w:ilvl w:val="1"/>
          <w:numId w:val="34"/>
        </w:numPr>
      </w:pPr>
      <w:r>
        <w:t xml:space="preserve">Zásadní je v tomto ohledu komunikace s rodinami. Ta ale bývá často obtížná, protože zejména chování nejproblémovějších žáků </w:t>
      </w:r>
      <w:r w:rsidR="008B203D">
        <w:t>pramení zejména z jejich</w:t>
      </w:r>
      <w:r>
        <w:t xml:space="preserve"> disfunkční</w:t>
      </w:r>
      <w:r w:rsidR="008B203D">
        <w:t>ch rodin</w:t>
      </w:r>
      <w:r>
        <w:t>.</w:t>
      </w:r>
    </w:p>
    <w:p w:rsidR="000140CB" w:rsidRDefault="000140CB" w:rsidP="000140CB">
      <w:r>
        <w:t>Pozn</w:t>
      </w:r>
      <w:r w:rsidR="000F3C2A">
        <w:t>.</w:t>
      </w:r>
      <w:r>
        <w:t>: V této časti jsou využity informace z dokumentu</w:t>
      </w:r>
      <w:r w:rsidRPr="000140CB">
        <w:t xml:space="preserve"> </w:t>
      </w:r>
      <w:r>
        <w:t>Strategie území správního obvodu ORP Litomyšl v oblasti předškolní výchovy a základního školství, sociálních služeb, odpadového hospodářství a cestovní ruch.</w:t>
      </w:r>
    </w:p>
    <w:p w:rsidR="00120802" w:rsidRDefault="00120802" w:rsidP="009F4D7F">
      <w:pPr>
        <w:pStyle w:val="Nadpis3"/>
      </w:pPr>
      <w:bookmarkStart w:id="30" w:name="_Toc430006504"/>
      <w:r>
        <w:lastRenderedPageBreak/>
        <w:t>Řízení obcí, informovanost, spolupráce</w:t>
      </w:r>
      <w:bookmarkEnd w:id="30"/>
      <w:r>
        <w:t xml:space="preserve"> </w:t>
      </w:r>
    </w:p>
    <w:p w:rsidR="00BE0544" w:rsidRPr="00BE0544" w:rsidRDefault="00BE0544" w:rsidP="00BE0544">
      <w:pPr>
        <w:pStyle w:val="Nadpis4"/>
      </w:pPr>
      <w:r>
        <w:t>Řízení obcí</w:t>
      </w:r>
    </w:p>
    <w:p w:rsidR="00785569" w:rsidRDefault="00785569" w:rsidP="000922FE">
      <w:r>
        <w:t>Region je charakteristický velkým počtem malých obcí, které obvykle hospodaří s ročním rozpočtem ve výši stovek tisíc až jednotek milionů Kč, které často nedovolují zaměstnání s</w:t>
      </w:r>
      <w:r w:rsidR="00FE3CBF">
        <w:t>tarosty na plný pracovní úvazek tato skutečnost</w:t>
      </w:r>
      <w:r>
        <w:t xml:space="preserve"> má bezpochyby vliv na objem času, který mohou (zejména neuvolnění) starostové řízení obcí věnovat</w:t>
      </w:r>
      <w:r w:rsidR="00FE3CBF">
        <w:t>, ale také na kvalitu řízení obce</w:t>
      </w:r>
      <w:r>
        <w:t>.</w:t>
      </w:r>
    </w:p>
    <w:p w:rsidR="00785569" w:rsidRDefault="00785569" w:rsidP="000922FE">
      <w:r>
        <w:t>Z celkového počtu 54, je v regionu pro funkci starosty na plný pracovní úvazek uvolněno pouze 21 starostů. Zbylých 33</w:t>
      </w:r>
      <w:r w:rsidR="00FE3CBF">
        <w:t xml:space="preserve"> starostů (61 %)</w:t>
      </w:r>
      <w:r>
        <w:t xml:space="preserve"> vykonává tuto funkci ve svém volném čase mimo své hlavní zaměstnaní.</w:t>
      </w:r>
    </w:p>
    <w:p w:rsidR="00BE0544" w:rsidRPr="00BE0544" w:rsidRDefault="00BE0544" w:rsidP="00BE0544">
      <w:pPr>
        <w:pStyle w:val="Nadpis4"/>
      </w:pPr>
      <w:r>
        <w:t>Informovanost v obcích</w:t>
      </w:r>
    </w:p>
    <w:p w:rsidR="000922FE" w:rsidRDefault="00FC2416" w:rsidP="000922FE">
      <w:r>
        <w:t>Informovaností v obcích je myšlena informovanost interní (tzn. Tok informací mezi obcí a obyvatelstvem a subjekty v obci).</w:t>
      </w:r>
    </w:p>
    <w:p w:rsidR="00DA5457" w:rsidRDefault="00DA5457" w:rsidP="000922FE">
      <w:r>
        <w:t xml:space="preserve">Z </w:t>
      </w:r>
      <w:r w:rsidR="00646734">
        <w:t>odpovědí občanů</w:t>
      </w:r>
      <w:r w:rsidR="00156A3F">
        <w:t xml:space="preserve"> vyplývá</w:t>
      </w:r>
      <w:r>
        <w:t xml:space="preserve"> že pouze 9 % obyvatel hodnotí informovanost ze strany obce jako nedostatečnou nebo spíše nedostatečnou. </w:t>
      </w:r>
    </w:p>
    <w:p w:rsidR="006A6DE8" w:rsidRDefault="006A6DE8" w:rsidP="00DA5457">
      <w:pPr>
        <w:jc w:val="center"/>
      </w:pPr>
      <w:r w:rsidRPr="006A6DE8">
        <w:rPr>
          <w:noProof/>
          <w:lang w:eastAsia="cs-CZ"/>
        </w:rPr>
        <w:drawing>
          <wp:inline distT="0" distB="0" distL="0" distR="0">
            <wp:extent cx="3552825" cy="2381250"/>
            <wp:effectExtent l="19050" t="0" r="9525" b="0"/>
            <wp:docPr id="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A6DE8" w:rsidRDefault="00DA5457" w:rsidP="000922FE">
      <w:r>
        <w:t xml:space="preserve">Ze srovnání názorů občanů na způsob informování obyvatel (viz graf níže vlevo) a reálných způsobů komunikace obce s občany (viz graf níže vpravo) je evidentní </w:t>
      </w:r>
      <w:r w:rsidR="00FB3EBE">
        <w:t xml:space="preserve">jistý nesoulad. Občané preferují aktivní cesty informovanosti (místní tisk, rozhlas) nebo web, zatímco aktivní získávání </w:t>
      </w:r>
      <w:r w:rsidR="008F1211">
        <w:t>informací, kdy by aktivně sledovali úřední desky</w:t>
      </w:r>
      <w:r w:rsidR="004B3D84">
        <w:t xml:space="preserve"> apod.,</w:t>
      </w:r>
      <w:r w:rsidR="008F1211">
        <w:t xml:space="preserve"> odsouvají do pozadí.</w:t>
      </w:r>
    </w:p>
    <w:p w:rsidR="008F1211" w:rsidRDefault="008F1211" w:rsidP="000922FE">
      <w:r>
        <w:t xml:space="preserve">Naproti tomu zveřejňování informací na úředních deskách je nejčastější formou informování obyvatelstva (často jim ale tuto povinnost ukládají legislativní nařízení). Využívání webu a </w:t>
      </w:r>
      <w:r>
        <w:lastRenderedPageBreak/>
        <w:t>obecního rozhlasu je také poměrně časté a v tomto právě nastává soulad mezi obcemi a obyvateli.</w:t>
      </w:r>
      <w:r w:rsidR="006C3CD3">
        <w:t xml:space="preserve"> </w:t>
      </w:r>
      <w:r>
        <w:t>Tyto formy komunikace by bylo vhodné posílit, stejně jako využívání místního tisku.</w:t>
      </w:r>
    </w:p>
    <w:p w:rsidR="006A6DE8" w:rsidRDefault="00DA5457" w:rsidP="000922FE">
      <w:r w:rsidRPr="00DA5457">
        <w:rPr>
          <w:noProof/>
          <w:lang w:eastAsia="cs-CZ"/>
        </w:rPr>
        <w:drawing>
          <wp:inline distT="0" distB="0" distL="0" distR="0">
            <wp:extent cx="2847975" cy="1981200"/>
            <wp:effectExtent l="19050" t="0" r="9525" b="0"/>
            <wp:docPr id="8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B40620" w:rsidRPr="00B40620">
        <w:rPr>
          <w:noProof/>
          <w:lang w:eastAsia="cs-CZ"/>
        </w:rPr>
        <w:drawing>
          <wp:inline distT="0" distB="0" distL="0" distR="0">
            <wp:extent cx="2847975" cy="1981200"/>
            <wp:effectExtent l="19050" t="0" r="9525" b="0"/>
            <wp:docPr id="8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A6DE8" w:rsidRDefault="008F1211" w:rsidP="000922FE">
      <w:r>
        <w:t>Místní tisk je dle zjišťování vydáván s měsíční periodicitou ve 26 % obcí, zatímco 2x ročně vydává místní tisk 58 % obcí. Minimálně 2</w:t>
      </w:r>
      <w:r w:rsidR="006C3CD3">
        <w:t xml:space="preserve">1 </w:t>
      </w:r>
      <w:r>
        <w:t>obcí nevydává tisk ani 2x ročně.</w:t>
      </w:r>
    </w:p>
    <w:p w:rsidR="008F1211" w:rsidRDefault="008F1211" w:rsidP="000922FE">
      <w:r>
        <w:t xml:space="preserve">Zásadním faktorem správného řízení obcí je také komunikace směrem od obyvatel k vedení obcí. V této oblasti funguje komunitní pojetí, tzn. </w:t>
      </w:r>
      <w:r w:rsidR="0072393D">
        <w:t>o</w:t>
      </w:r>
      <w:r>
        <w:t>sobní komunikace</w:t>
      </w:r>
      <w:r w:rsidR="0072393D">
        <w:t xml:space="preserve"> a setkávání s občany jsou</w:t>
      </w:r>
      <w:r>
        <w:t xml:space="preserve"> </w:t>
      </w:r>
      <w:r w:rsidR="006C3CD3">
        <w:t>zásadním</w:t>
      </w:r>
      <w:r>
        <w:t xml:space="preserve"> </w:t>
      </w:r>
      <w:r w:rsidR="0072393D">
        <w:t xml:space="preserve">komunikačním kanálem směrem k vedení obcí. </w:t>
      </w:r>
    </w:p>
    <w:p w:rsidR="004D0DB4" w:rsidRDefault="004D0DB4" w:rsidP="0072393D">
      <w:pPr>
        <w:jc w:val="center"/>
      </w:pPr>
      <w:r w:rsidRPr="004D0DB4">
        <w:rPr>
          <w:noProof/>
          <w:lang w:eastAsia="cs-CZ"/>
        </w:rPr>
        <w:drawing>
          <wp:inline distT="0" distB="0" distL="0" distR="0">
            <wp:extent cx="4570496" cy="2746208"/>
            <wp:effectExtent l="19050" t="0" r="20554" b="0"/>
            <wp:docPr id="14"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56400" w:rsidRDefault="00856400" w:rsidP="00BE0544">
      <w:pPr>
        <w:pStyle w:val="Nadpis4"/>
      </w:pPr>
      <w:r>
        <w:lastRenderedPageBreak/>
        <w:t>Informovanost obcí</w:t>
      </w:r>
    </w:p>
    <w:p w:rsidR="00B40620" w:rsidRDefault="00B40620" w:rsidP="00B40620">
      <w:r>
        <w:t>Informovaností obcí je pro potřeby této části myšlena informovanost zástupců obcí, a to zejména v oblasti řízení obce, administrativních záležitostí a možnostech financování aktivit obce.</w:t>
      </w:r>
    </w:p>
    <w:p w:rsidR="005D0CC8" w:rsidRDefault="005D0CC8" w:rsidP="00B40620">
      <w:r>
        <w:t xml:space="preserve">Z osobních jednání se starosty vyplývá, že administrativní zátěž kladená na starosty je poměrně vysoká a zabírá značnou část času věnovaného řízení obce. Zejména neuvolnění starostové vykonávají určité administrativní úkony (zejména ty s delší periodicitou) po relativně dlouhou dobu. Příčinou je </w:t>
      </w:r>
      <w:r w:rsidR="0068572C">
        <w:t>nutnost vyhledávání informací o samotném administrativním postupu a  související legislativě. Aby zástupce obce mohl úkon správně provést, musí se nejdříve se všemi jeho aspekty seznámit. To je problém zejména v obcích s neuvolněným starostou a bez dalšího personálního zajištění.</w:t>
      </w:r>
    </w:p>
    <w:p w:rsidR="00F37A52" w:rsidRDefault="00F37A52" w:rsidP="00B40620">
      <w:r>
        <w:t xml:space="preserve">Získávání informací obcemi o zdrojích financování se omezuje na dostupné granty (veřejné i soukromé), protože informace </w:t>
      </w:r>
      <w:r w:rsidR="00131008">
        <w:t>o</w:t>
      </w:r>
      <w:r>
        <w:t xml:space="preserve"> vlastních zdrojích mají zástupci obcí dobré.</w:t>
      </w:r>
    </w:p>
    <w:p w:rsidR="00F37A52" w:rsidRPr="00B40620" w:rsidRDefault="00F37A52" w:rsidP="00B40620">
      <w:r>
        <w:t xml:space="preserve">Z dotazníkového šetření v této oblasti vyplývá, že 25 % zástupců obcí považují dostupnost informací o operačních programech, výzvách apod. </w:t>
      </w:r>
      <w:r w:rsidR="00CE4119">
        <w:t>za nedostatečnou (viz graf níže).</w:t>
      </w:r>
    </w:p>
    <w:p w:rsidR="00B40620" w:rsidRDefault="00B40620" w:rsidP="00B40620">
      <w:r w:rsidRPr="00B40620">
        <w:rPr>
          <w:noProof/>
          <w:lang w:eastAsia="cs-CZ"/>
        </w:rPr>
        <w:drawing>
          <wp:inline distT="0" distB="0" distL="0" distR="0">
            <wp:extent cx="5391150" cy="2752725"/>
            <wp:effectExtent l="19050" t="0" r="19050" b="0"/>
            <wp:docPr id="84"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40620" w:rsidRDefault="00CE4119" w:rsidP="00B40620">
      <w:r>
        <w:t xml:space="preserve">Z šetření rovněž vyplývá, že nejčastějším zdrojem </w:t>
      </w:r>
      <w:r w:rsidR="002D185E">
        <w:t>informací o dotacích je internet (viz pořadí níže).</w:t>
      </w:r>
    </w:p>
    <w:p w:rsidR="002D185E" w:rsidRDefault="002D185E" w:rsidP="00A60AC9">
      <w:pPr>
        <w:pStyle w:val="Odstavecseseznamem"/>
        <w:numPr>
          <w:ilvl w:val="0"/>
          <w:numId w:val="37"/>
        </w:numPr>
      </w:pPr>
      <w:r>
        <w:t>Internet (48 % odpovědí).</w:t>
      </w:r>
    </w:p>
    <w:p w:rsidR="002D185E" w:rsidRDefault="002D185E" w:rsidP="00A60AC9">
      <w:pPr>
        <w:pStyle w:val="Odstavecseseznamem"/>
        <w:numPr>
          <w:ilvl w:val="0"/>
          <w:numId w:val="37"/>
        </w:numPr>
      </w:pPr>
      <w:r>
        <w:lastRenderedPageBreak/>
        <w:t>Email (24 % odpovědí).</w:t>
      </w:r>
    </w:p>
    <w:p w:rsidR="002D185E" w:rsidRDefault="002D185E" w:rsidP="00A60AC9">
      <w:pPr>
        <w:pStyle w:val="Odstavecseseznamem"/>
        <w:numPr>
          <w:ilvl w:val="0"/>
          <w:numId w:val="37"/>
        </w:numPr>
      </w:pPr>
      <w:r>
        <w:t>MAS (16 % odpovědí).</w:t>
      </w:r>
    </w:p>
    <w:p w:rsidR="002D185E" w:rsidRDefault="002D185E" w:rsidP="00A60AC9">
      <w:pPr>
        <w:pStyle w:val="Odstavecseseznamem"/>
        <w:numPr>
          <w:ilvl w:val="0"/>
          <w:numId w:val="37"/>
        </w:numPr>
      </w:pPr>
      <w:r>
        <w:t>Poradenské firmy (16 % odpovědí).</w:t>
      </w:r>
    </w:p>
    <w:p w:rsidR="002D185E" w:rsidRDefault="002D185E" w:rsidP="00A60AC9">
      <w:pPr>
        <w:pStyle w:val="Odstavecseseznamem"/>
        <w:numPr>
          <w:ilvl w:val="0"/>
          <w:numId w:val="37"/>
        </w:numPr>
      </w:pPr>
      <w:r>
        <w:t>Krajský úřad (8 % odpovědí).</w:t>
      </w:r>
    </w:p>
    <w:p w:rsidR="002D185E" w:rsidRDefault="002D185E" w:rsidP="00A60AC9">
      <w:pPr>
        <w:pStyle w:val="Odstavecseseznamem"/>
        <w:numPr>
          <w:ilvl w:val="0"/>
          <w:numId w:val="37"/>
        </w:numPr>
      </w:pPr>
      <w:r>
        <w:t>Školení a semináře (8 % odpovědí).</w:t>
      </w:r>
    </w:p>
    <w:p w:rsidR="002D185E" w:rsidRDefault="002D185E" w:rsidP="00A60AC9">
      <w:pPr>
        <w:pStyle w:val="Odstavecseseznamem"/>
        <w:numPr>
          <w:ilvl w:val="0"/>
          <w:numId w:val="37"/>
        </w:numPr>
      </w:pPr>
      <w:r>
        <w:t>In</w:t>
      </w:r>
      <w:r w:rsidR="00CB1323">
        <w:t>formace od svazků obcí</w:t>
      </w:r>
      <w:r>
        <w:t xml:space="preserve"> (4 % odpovědí).</w:t>
      </w:r>
    </w:p>
    <w:p w:rsidR="002D185E" w:rsidRDefault="002D185E" w:rsidP="002D185E">
      <w:r>
        <w:t>Pozn.: Uvedené procentuální zastoupení odpovědí nelze vztahovat ke 100 %, protože některé odpovědi obsahovaly více zdrojů informací a procentuální vyjádření uvádí výskyt určité odpovědi.</w:t>
      </w:r>
    </w:p>
    <w:p w:rsidR="005F4B1F" w:rsidRDefault="005F4B1F" w:rsidP="002D185E">
      <w:r>
        <w:t>Uvedené odpovědi poukazují na to, že kromě individuálních zdrojů informací funguje podstatnou měrou také spolupráce mezi obcemi,</w:t>
      </w:r>
      <w:r w:rsidR="00DA5457">
        <w:t xml:space="preserve"> s</w:t>
      </w:r>
      <w:r>
        <w:t xml:space="preserve"> MAS a </w:t>
      </w:r>
      <w:r w:rsidR="00DA5457">
        <w:t xml:space="preserve">s </w:t>
      </w:r>
      <w:r>
        <w:t>dalšími subjekty.</w:t>
      </w:r>
    </w:p>
    <w:p w:rsidR="00496B61" w:rsidRDefault="009958E9" w:rsidP="009958E9">
      <w:pPr>
        <w:pStyle w:val="Nadpis4"/>
      </w:pPr>
      <w:r>
        <w:t>Shrnutí řízení a informovanosti</w:t>
      </w:r>
    </w:p>
    <w:tbl>
      <w:tblPr>
        <w:tblStyle w:val="Mkatabulky"/>
        <w:tblW w:w="0" w:type="auto"/>
        <w:tblLook w:val="04A0"/>
      </w:tblPr>
      <w:tblGrid>
        <w:gridCol w:w="4606"/>
        <w:gridCol w:w="4606"/>
      </w:tblGrid>
      <w:tr w:rsidR="009958E9" w:rsidTr="009958E9">
        <w:trPr>
          <w:cantSplit/>
        </w:trPr>
        <w:tc>
          <w:tcPr>
            <w:tcW w:w="4606" w:type="dxa"/>
            <w:shd w:val="clear" w:color="auto" w:fill="D6E3BC" w:themeFill="accent3" w:themeFillTint="66"/>
          </w:tcPr>
          <w:p w:rsidR="009958E9" w:rsidRPr="000F7E1C" w:rsidRDefault="009958E9" w:rsidP="009958E9">
            <w:pPr>
              <w:rPr>
                <w:b/>
              </w:rPr>
            </w:pPr>
            <w:r w:rsidRPr="000F7E1C">
              <w:rPr>
                <w:b/>
              </w:rPr>
              <w:t>S „Silné stránky“</w:t>
            </w:r>
          </w:p>
        </w:tc>
        <w:tc>
          <w:tcPr>
            <w:tcW w:w="4606" w:type="dxa"/>
            <w:shd w:val="clear" w:color="auto" w:fill="FBD4B4" w:themeFill="accent6" w:themeFillTint="66"/>
          </w:tcPr>
          <w:p w:rsidR="009958E9" w:rsidRPr="000F7E1C" w:rsidRDefault="009958E9" w:rsidP="009958E9">
            <w:pPr>
              <w:rPr>
                <w:b/>
              </w:rPr>
            </w:pPr>
            <w:r w:rsidRPr="000F7E1C">
              <w:rPr>
                <w:b/>
              </w:rPr>
              <w:t>W „Slabé stránky“</w:t>
            </w:r>
          </w:p>
        </w:tc>
      </w:tr>
      <w:tr w:rsidR="009958E9" w:rsidTr="009958E9">
        <w:trPr>
          <w:cantSplit/>
          <w:trHeight w:val="2309"/>
        </w:trPr>
        <w:tc>
          <w:tcPr>
            <w:tcW w:w="4606" w:type="dxa"/>
            <w:shd w:val="clear" w:color="auto" w:fill="EAF1DD" w:themeFill="accent3" w:themeFillTint="33"/>
          </w:tcPr>
          <w:p w:rsidR="009958E9" w:rsidRDefault="00C458AB" w:rsidP="00A60AC9">
            <w:pPr>
              <w:pStyle w:val="Odstavecseseznamem"/>
              <w:numPr>
                <w:ilvl w:val="0"/>
                <w:numId w:val="7"/>
              </w:numPr>
            </w:pPr>
            <w:r>
              <w:t>Komunitní pojetí řízení obcí a spolupráce.</w:t>
            </w:r>
          </w:p>
        </w:tc>
        <w:tc>
          <w:tcPr>
            <w:tcW w:w="4606" w:type="dxa"/>
            <w:shd w:val="clear" w:color="auto" w:fill="FDE9D9" w:themeFill="accent6" w:themeFillTint="33"/>
          </w:tcPr>
          <w:p w:rsidR="009958E9" w:rsidRDefault="006C3CD3" w:rsidP="00A60AC9">
            <w:pPr>
              <w:pStyle w:val="Odstavecseseznamem"/>
              <w:numPr>
                <w:ilvl w:val="0"/>
                <w:numId w:val="7"/>
              </w:numPr>
            </w:pPr>
            <w:r>
              <w:t>Administrativ</w:t>
            </w:r>
            <w:r w:rsidR="00C458AB">
              <w:t>ní náročnost vedení obcí.</w:t>
            </w:r>
          </w:p>
          <w:p w:rsidR="00C458AB" w:rsidRDefault="00C458AB" w:rsidP="00A60AC9">
            <w:pPr>
              <w:pStyle w:val="Odstavecseseznamem"/>
              <w:numPr>
                <w:ilvl w:val="0"/>
                <w:numId w:val="7"/>
              </w:numPr>
            </w:pPr>
            <w:r>
              <w:t>Administrativní náročnost spojená s dotacemi.</w:t>
            </w:r>
          </w:p>
        </w:tc>
      </w:tr>
      <w:tr w:rsidR="009958E9" w:rsidTr="009958E9">
        <w:trPr>
          <w:cantSplit/>
        </w:trPr>
        <w:tc>
          <w:tcPr>
            <w:tcW w:w="4606" w:type="dxa"/>
            <w:shd w:val="clear" w:color="auto" w:fill="B8CCE4" w:themeFill="accent1" w:themeFillTint="66"/>
          </w:tcPr>
          <w:p w:rsidR="009958E9" w:rsidRPr="000F7E1C" w:rsidRDefault="009958E9" w:rsidP="009958E9">
            <w:pPr>
              <w:rPr>
                <w:b/>
              </w:rPr>
            </w:pPr>
            <w:r w:rsidRPr="000F7E1C">
              <w:rPr>
                <w:b/>
              </w:rPr>
              <w:t>O „Příležitosti“</w:t>
            </w:r>
          </w:p>
        </w:tc>
        <w:tc>
          <w:tcPr>
            <w:tcW w:w="4606" w:type="dxa"/>
            <w:shd w:val="clear" w:color="auto" w:fill="E5B8B7" w:themeFill="accent2" w:themeFillTint="66"/>
          </w:tcPr>
          <w:p w:rsidR="009958E9" w:rsidRPr="000F7E1C" w:rsidRDefault="009958E9" w:rsidP="009958E9">
            <w:pPr>
              <w:rPr>
                <w:b/>
              </w:rPr>
            </w:pPr>
            <w:r w:rsidRPr="000F7E1C">
              <w:rPr>
                <w:b/>
              </w:rPr>
              <w:t>T „Hrozby“</w:t>
            </w:r>
          </w:p>
        </w:tc>
      </w:tr>
      <w:tr w:rsidR="009958E9" w:rsidTr="009958E9">
        <w:trPr>
          <w:cantSplit/>
          <w:trHeight w:val="2829"/>
        </w:trPr>
        <w:tc>
          <w:tcPr>
            <w:tcW w:w="4606" w:type="dxa"/>
            <w:shd w:val="clear" w:color="auto" w:fill="DBE5F1" w:themeFill="accent1" w:themeFillTint="33"/>
          </w:tcPr>
          <w:p w:rsidR="009958E9" w:rsidRDefault="00C458AB" w:rsidP="00A60AC9">
            <w:pPr>
              <w:pStyle w:val="Odstavecseseznamem"/>
              <w:numPr>
                <w:ilvl w:val="0"/>
                <w:numId w:val="33"/>
              </w:numPr>
            </w:pPr>
            <w:r>
              <w:t>Meziobecní spolupráce v oblasti řízení a informovanosti.</w:t>
            </w:r>
          </w:p>
        </w:tc>
        <w:tc>
          <w:tcPr>
            <w:tcW w:w="4606" w:type="dxa"/>
            <w:shd w:val="clear" w:color="auto" w:fill="F2DBDB" w:themeFill="accent2" w:themeFillTint="33"/>
          </w:tcPr>
          <w:p w:rsidR="00D727E0" w:rsidRDefault="00D727E0" w:rsidP="00A60AC9">
            <w:pPr>
              <w:pStyle w:val="Odstavecseseznamem"/>
              <w:numPr>
                <w:ilvl w:val="0"/>
                <w:numId w:val="32"/>
              </w:numPr>
            </w:pPr>
            <w:r>
              <w:t>Klesající poměr času věnovaný řízení obce ve vztahu k administrativě</w:t>
            </w:r>
          </w:p>
        </w:tc>
      </w:tr>
    </w:tbl>
    <w:p w:rsidR="009958E9" w:rsidRDefault="009958E9" w:rsidP="009958E9"/>
    <w:p w:rsidR="00C458AB" w:rsidRDefault="00C458AB" w:rsidP="00C458AB">
      <w:r>
        <w:t>Administrativní náročnost plynoucí z legislativních podmínek nebo spojená s příjmem dotací a grantů je zásadním faktorem řízení obcí. Tato oblast ale není z pozice MAS nebo aktérů v regionu ovlivnitelná. Jistou cestou by mohla být podpůrná činnost.</w:t>
      </w:r>
    </w:p>
    <w:p w:rsidR="00990500" w:rsidRDefault="00C458AB" w:rsidP="00A60AC9">
      <w:pPr>
        <w:pStyle w:val="Odstavecseseznamem"/>
        <w:numPr>
          <w:ilvl w:val="0"/>
          <w:numId w:val="35"/>
        </w:numPr>
      </w:pPr>
      <w:r>
        <w:t>Administrativní náročnost spojená s řízením obcí</w:t>
      </w:r>
      <w:r w:rsidR="00D47246">
        <w:t xml:space="preserve"> je </w:t>
      </w:r>
      <w:r w:rsidR="00990500">
        <w:t xml:space="preserve">„řešitelná“ podpůrnou formou založenou na spolupráci a sdílení. Z názorů zástupců obcí vyplynula myšlenka společného obecního poradce, který by fungoval jako jednotný zdroj informací pro zástupce obcí  a případně rovněž řešil vybrané agendy, u kterých je to vzhledem k jejich povaze možné. </w:t>
      </w:r>
    </w:p>
    <w:p w:rsidR="009958E9" w:rsidRDefault="00990500" w:rsidP="00990500">
      <w:pPr>
        <w:pStyle w:val="Odstavecseseznamem"/>
        <w:ind w:left="720"/>
      </w:pPr>
      <w:r>
        <w:t>Došlo by tím ke snížení časové náročnosti na administrativu obcí, ke zvýšení kvality výstupů administrativních úkonů, ke zvýšení času volného pro věcné řízení obce a tím také k nárůstu kvality řízení. Zástupci obcí by tak nemuseli vždy vyhledávat zdroje informací a informace ani zjišťovat postup jednotlivých úkonů každý zvlášť, ale tyto oblasti by ovládal společný obecní poradce, který by se vše „učil“ jen jednou místo mnohonásobku tohoto času, který by stejnému problému musela dát řada starostů.</w:t>
      </w:r>
    </w:p>
    <w:p w:rsidR="00990500" w:rsidRDefault="00990500" w:rsidP="00990500">
      <w:pPr>
        <w:pStyle w:val="Odstavecseseznamem"/>
        <w:ind w:left="720"/>
      </w:pPr>
      <w:r>
        <w:t>Personálně by mohla tato osoba být zaměstnána několika obcemi nebo zastřešujícím subjektem (MAS, mikroregion...). Financování by bylo možné sdílením obcemi nebo případně z dotačních prostředků.</w:t>
      </w:r>
    </w:p>
    <w:p w:rsidR="00D727E0" w:rsidRDefault="00D727E0" w:rsidP="00A60AC9">
      <w:pPr>
        <w:pStyle w:val="Odstavecseseznamem"/>
        <w:numPr>
          <w:ilvl w:val="0"/>
          <w:numId w:val="35"/>
        </w:numPr>
      </w:pPr>
      <w:r>
        <w:t>Administrativní náročnost spojená s financováním (granty a dotacemi)</w:t>
      </w:r>
      <w:r w:rsidR="00990500">
        <w:t xml:space="preserve"> je rovněž eliminovatelná pouze podpůrnou cestou. V tomto případě již má MAS jisté zkušenosti, které by chtěla dále rozvíjet a být tak důvěryhodným zdrojem informací a kvalitních služeb pro obce a subjekty v regionu.</w:t>
      </w:r>
    </w:p>
    <w:p w:rsidR="00990500" w:rsidRDefault="00B50CB6" w:rsidP="00990500">
      <w:pPr>
        <w:pStyle w:val="Odstavecseseznamem"/>
        <w:ind w:left="720"/>
      </w:pPr>
      <w:r>
        <w:t>Rovněž při distribuci prostředků metodou LEADER se MAS snažila centralizovat administrativu, aby tak usnadnila žadatelům a příjemcům administrativu projektů.</w:t>
      </w:r>
    </w:p>
    <w:p w:rsidR="00504039" w:rsidRPr="009958E9" w:rsidRDefault="00504039" w:rsidP="00504039">
      <w:pPr>
        <w:pStyle w:val="Odstavecseseznamem"/>
        <w:ind w:left="720"/>
      </w:pPr>
      <w:r>
        <w:t>Financování by bylo možné rovněž sdílením obcemi nebo případně z dotačních prostředků.</w:t>
      </w:r>
    </w:p>
    <w:p w:rsidR="00B50E8D" w:rsidRDefault="00120802" w:rsidP="009F4D7F">
      <w:pPr>
        <w:pStyle w:val="Nadpis3"/>
      </w:pPr>
      <w:bookmarkStart w:id="31" w:name="_Toc430006505"/>
      <w:r>
        <w:lastRenderedPageBreak/>
        <w:t>Bezpečnost</w:t>
      </w:r>
      <w:bookmarkEnd w:id="31"/>
    </w:p>
    <w:p w:rsidR="00846AEE" w:rsidRPr="00846AEE" w:rsidRDefault="00846AEE" w:rsidP="00846AEE">
      <w:pPr>
        <w:pStyle w:val="Nadpis4"/>
      </w:pPr>
      <w:r>
        <w:t>Krimina</w:t>
      </w:r>
      <w:r w:rsidR="001C0710">
        <w:t>l</w:t>
      </w:r>
      <w:r>
        <w:t>ita</w:t>
      </w:r>
    </w:p>
    <w:p w:rsidR="00846AEE" w:rsidRDefault="0095211B" w:rsidP="0095211B">
      <w:r>
        <w:t xml:space="preserve">V </w:t>
      </w:r>
      <w:r w:rsidRPr="000F3C2A">
        <w:t>regionu MAS nejsou dlouhodobě významnější problémy se zajištěním bezpečnosti</w:t>
      </w:r>
      <w:r w:rsidR="00846AEE" w:rsidRPr="000F3C2A">
        <w:t xml:space="preserve"> z pohledu kriminality</w:t>
      </w:r>
      <w:r w:rsidRPr="000F3C2A">
        <w:t>. Pardubický kraj, kam region MAS celý spadá, patří z</w:t>
      </w:r>
      <w:r w:rsidR="00846AEE" w:rsidRPr="000F3C2A">
        <w:t xml:space="preserve"> tohoto pohledu</w:t>
      </w:r>
      <w:r w:rsidRPr="000F3C2A">
        <w:t xml:space="preserve"> kriminality mezi nejbezpečnější v republice, a to jak podle počtu spáchaných činů, tak i v poměru počtu spáchaných činů na</w:t>
      </w:r>
      <w:r>
        <w:t xml:space="preserve"> počet obyvatel (v obou ukazatelích figuruje jako 3. nejbezpečnější).</w:t>
      </w:r>
      <w:r w:rsidR="001C0710">
        <w:t xml:space="preserve"> V Pardubickém kraji se v roce 2013 </w:t>
      </w:r>
      <w:r w:rsidR="002A5565">
        <w:t xml:space="preserve">odehrálo </w:t>
      </w:r>
      <w:r w:rsidR="001C0710">
        <w:t>9 092 činů řešených Policií ČR (při republikovém průměru 23 240 činu na kraj), což znamená 0,018 činu na obyvatele (při republikovém průměru 0,028 činu na obyvatele).</w:t>
      </w:r>
      <w:r w:rsidR="000F3C2A">
        <w:rPr>
          <w:rStyle w:val="Znakapoznpodarou"/>
        </w:rPr>
        <w:footnoteReference w:id="37"/>
      </w:r>
    </w:p>
    <w:p w:rsidR="00464F1D" w:rsidRDefault="002A5565" w:rsidP="002A5565">
      <w:r>
        <w:t>Obce a města v tomto směru působí preventivně, a to provozováním veřejného osvětlení (ve většině obcí) a provozováním kamerov</w:t>
      </w:r>
      <w:r w:rsidR="00AC5751">
        <w:t xml:space="preserve">ých systémů, které </w:t>
      </w:r>
      <w:r w:rsidR="00464F1D">
        <w:t>pokrývají</w:t>
      </w:r>
      <w:r>
        <w:t xml:space="preserve"> vybraná místa.</w:t>
      </w:r>
      <w:r w:rsidR="00AC5751">
        <w:t xml:space="preserve"> </w:t>
      </w:r>
      <w:r w:rsidR="00464F1D">
        <w:t>Jsou provozovány v širším měřítku především ve městech. V obcích pak slouží především k ochraně majetku soukromých subjektů, které je zároveň provozují.</w:t>
      </w:r>
    </w:p>
    <w:p w:rsidR="002A5565" w:rsidRDefault="002A5565" w:rsidP="002A5565">
      <w:r>
        <w:t>Na veřejných místech jsou rovněž vylepovány informace a kontakty na prvky integrovaného záchranného systému včetně Policie ČR.</w:t>
      </w:r>
    </w:p>
    <w:p w:rsidR="002A5565" w:rsidRPr="0095211B" w:rsidRDefault="002A5565" w:rsidP="0095211B">
      <w:r>
        <w:t>Vysoké Mýto, Litomyšl a Proseč provozují rovněž měst</w:t>
      </w:r>
      <w:r w:rsidR="00464F1D">
        <w:t>skou policii s působností i mimo tato města</w:t>
      </w:r>
      <w:r w:rsidR="00671E0F">
        <w:t xml:space="preserve"> na základě meziobecní spolupráce</w:t>
      </w:r>
      <w:r w:rsidR="00464F1D">
        <w:t>.</w:t>
      </w:r>
    </w:p>
    <w:p w:rsidR="001C0710" w:rsidRDefault="005841C5" w:rsidP="001C0710">
      <w:pPr>
        <w:pStyle w:val="Nadpis4"/>
      </w:pPr>
      <w:r>
        <w:t>Dopravní bezpečnost</w:t>
      </w:r>
    </w:p>
    <w:p w:rsidR="009A76B3" w:rsidRDefault="001C0710" w:rsidP="000922FE">
      <w:r>
        <w:t>V</w:t>
      </w:r>
      <w:r w:rsidR="00EE26A6">
        <w:t xml:space="preserve"> oblasti dopravní nehodovosti </w:t>
      </w:r>
      <w:r w:rsidR="00EE19D2">
        <w:t xml:space="preserve">se Pardubický kraj </w:t>
      </w:r>
      <w:r>
        <w:t>řadí mezi republikově nadprůměrně bezpečné. S 3 622 nehodami za rok 2013 figuruje jako</w:t>
      </w:r>
      <w:r w:rsidR="00EE19D2">
        <w:t xml:space="preserve"> 5. nejbezpečnější ze všech krajů v České republice.</w:t>
      </w:r>
      <w:r>
        <w:t xml:space="preserve"> Celorepublikový průměr přitom představuje 6 028 dopravních nehod na kraj.</w:t>
      </w:r>
      <w:r w:rsidR="00EE19D2">
        <w:t xml:space="preserve"> </w:t>
      </w:r>
    </w:p>
    <w:p w:rsidR="009A76B3" w:rsidRDefault="009A76B3" w:rsidP="000922FE">
      <w:r>
        <w:lastRenderedPageBreak/>
        <w:t>Při srovnání dopravní počtu dopravních nehod připadajících na jednoho obyvatele se už Pardubický kraj s počtem 0,0070 nehod na obyvatele pohybuje přibližně na republikovém průměru (0,0075 nehod na obyvatele).</w:t>
      </w:r>
      <w:r w:rsidR="000F3C2A">
        <w:rPr>
          <w:rStyle w:val="Znakapoznpodarou"/>
        </w:rPr>
        <w:footnoteReference w:id="38"/>
      </w:r>
    </w:p>
    <w:p w:rsidR="00EE26A6" w:rsidRPr="009A76B3" w:rsidRDefault="009A76B3" w:rsidP="009A76B3">
      <w:pPr>
        <w:pStyle w:val="Nadpis4"/>
      </w:pPr>
      <w:r w:rsidRPr="009A76B3">
        <w:t>Celkový pohled na bezpečnost v regionu</w:t>
      </w:r>
    </w:p>
    <w:p w:rsidR="003D583D" w:rsidRDefault="003D583D" w:rsidP="000922FE">
      <w:pPr>
        <w:rPr>
          <w:highlight w:val="red"/>
        </w:rPr>
      </w:pPr>
      <w:r w:rsidRPr="003D583D">
        <w:rPr>
          <w:noProof/>
          <w:lang w:eastAsia="cs-CZ"/>
        </w:rPr>
        <w:drawing>
          <wp:inline distT="0" distB="0" distL="0" distR="0">
            <wp:extent cx="2800350" cy="1685925"/>
            <wp:effectExtent l="19050" t="0" r="1905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3D583D">
        <w:rPr>
          <w:noProof/>
          <w:lang w:eastAsia="cs-CZ"/>
        </w:rPr>
        <w:drawing>
          <wp:inline distT="0" distB="0" distL="0" distR="0">
            <wp:extent cx="2828925" cy="1685925"/>
            <wp:effectExtent l="19050" t="0" r="9525"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A76B3" w:rsidRPr="00B53EF4" w:rsidRDefault="009A76B3" w:rsidP="000922FE">
      <w:r w:rsidRPr="00B53EF4">
        <w:t>Pozn.: Pohled občanu vlevo, pohled zástupců obcí vpravo</w:t>
      </w:r>
    </w:p>
    <w:p w:rsidR="00B53EF4" w:rsidRPr="00B53EF4" w:rsidRDefault="00B53EF4" w:rsidP="000922FE">
      <w:r w:rsidRPr="00B53EF4">
        <w:t>Z výsledků dotazníkových šetření prezentovaných výše zobrazenými grafy vyplývá, že</w:t>
      </w:r>
      <w:r>
        <w:t xml:space="preserve"> </w:t>
      </w:r>
      <w:r w:rsidRPr="00B53EF4">
        <w:t>většina obyvatel i z</w:t>
      </w:r>
      <w:r w:rsidR="00F27604">
        <w:t>ástupců obcí hodnotí bezpečnost</w:t>
      </w:r>
      <w:r w:rsidRPr="00B53EF4">
        <w:t>ní situaci v regionu pozitivně. Přesto je u obou skupin respondentů evidentní také</w:t>
      </w:r>
      <w:r>
        <w:t xml:space="preserve"> vnímání jistého</w:t>
      </w:r>
      <w:r w:rsidRPr="00B53EF4">
        <w:t xml:space="preserve"> prostor</w:t>
      </w:r>
      <w:r>
        <w:t>u</w:t>
      </w:r>
      <w:r w:rsidRPr="00B53EF4">
        <w:t xml:space="preserve"> pro zlepšení. </w:t>
      </w:r>
    </w:p>
    <w:p w:rsidR="00B53EF4" w:rsidRPr="00B53EF4" w:rsidRDefault="00B53EF4" w:rsidP="000922FE">
      <w:r w:rsidRPr="00B53EF4">
        <w:t xml:space="preserve">Z uskutečněných setkání a z analýzy strategických dokumentů v regionu vyplývá, že prostor pro zlepšení je především v oblasti bezpečné dopravní infrastruktury a </w:t>
      </w:r>
      <w:r>
        <w:t xml:space="preserve">souvisejících </w:t>
      </w:r>
      <w:r w:rsidRPr="00B53EF4">
        <w:t>technických prvků.</w:t>
      </w:r>
    </w:p>
    <w:tbl>
      <w:tblPr>
        <w:tblStyle w:val="Mkatabulky"/>
        <w:tblW w:w="0" w:type="auto"/>
        <w:tblLook w:val="04A0"/>
      </w:tblPr>
      <w:tblGrid>
        <w:gridCol w:w="4606"/>
        <w:gridCol w:w="4606"/>
      </w:tblGrid>
      <w:tr w:rsidR="00B53EF4" w:rsidTr="007C7069">
        <w:trPr>
          <w:cantSplit/>
        </w:trPr>
        <w:tc>
          <w:tcPr>
            <w:tcW w:w="4606" w:type="dxa"/>
            <w:shd w:val="clear" w:color="auto" w:fill="D6E3BC" w:themeFill="accent3" w:themeFillTint="66"/>
          </w:tcPr>
          <w:p w:rsidR="00B53EF4" w:rsidRPr="000F7E1C" w:rsidRDefault="00B53EF4" w:rsidP="007C7069">
            <w:pPr>
              <w:rPr>
                <w:b/>
              </w:rPr>
            </w:pPr>
            <w:r w:rsidRPr="000F7E1C">
              <w:rPr>
                <w:b/>
              </w:rPr>
              <w:t>S „Silné stránky“</w:t>
            </w:r>
          </w:p>
        </w:tc>
        <w:tc>
          <w:tcPr>
            <w:tcW w:w="4606" w:type="dxa"/>
            <w:shd w:val="clear" w:color="auto" w:fill="FBD4B4" w:themeFill="accent6" w:themeFillTint="66"/>
          </w:tcPr>
          <w:p w:rsidR="00B53EF4" w:rsidRPr="000F7E1C" w:rsidRDefault="00B53EF4" w:rsidP="007C7069">
            <w:pPr>
              <w:rPr>
                <w:b/>
              </w:rPr>
            </w:pPr>
            <w:r w:rsidRPr="000F7E1C">
              <w:rPr>
                <w:b/>
              </w:rPr>
              <w:t>W „Slabé stránky“</w:t>
            </w:r>
          </w:p>
        </w:tc>
      </w:tr>
      <w:tr w:rsidR="00B53EF4" w:rsidTr="007C7069">
        <w:trPr>
          <w:cantSplit/>
          <w:trHeight w:val="2309"/>
        </w:trPr>
        <w:tc>
          <w:tcPr>
            <w:tcW w:w="4606" w:type="dxa"/>
            <w:shd w:val="clear" w:color="auto" w:fill="EAF1DD" w:themeFill="accent3" w:themeFillTint="33"/>
          </w:tcPr>
          <w:p w:rsidR="00B53EF4" w:rsidRDefault="00B53EF4" w:rsidP="00A60AC9">
            <w:pPr>
              <w:pStyle w:val="Odstavecseseznamem"/>
              <w:numPr>
                <w:ilvl w:val="0"/>
                <w:numId w:val="7"/>
              </w:numPr>
            </w:pPr>
            <w:r>
              <w:lastRenderedPageBreak/>
              <w:t>Nízká kriminalita</w:t>
            </w:r>
          </w:p>
          <w:p w:rsidR="00B53EF4" w:rsidRDefault="00B53EF4" w:rsidP="00A60AC9">
            <w:pPr>
              <w:pStyle w:val="Odstavecseseznamem"/>
              <w:numPr>
                <w:ilvl w:val="0"/>
                <w:numId w:val="7"/>
              </w:numPr>
            </w:pPr>
            <w:r>
              <w:t>Podpora obyvatel v bezpečnostních projektech</w:t>
            </w:r>
          </w:p>
        </w:tc>
        <w:tc>
          <w:tcPr>
            <w:tcW w:w="4606" w:type="dxa"/>
            <w:shd w:val="clear" w:color="auto" w:fill="FDE9D9" w:themeFill="accent6" w:themeFillTint="33"/>
          </w:tcPr>
          <w:p w:rsidR="00B53EF4" w:rsidRDefault="00B53EF4" w:rsidP="00A60AC9">
            <w:pPr>
              <w:pStyle w:val="Odstavecseseznamem"/>
              <w:numPr>
                <w:ilvl w:val="0"/>
                <w:numId w:val="7"/>
              </w:numPr>
            </w:pPr>
            <w:r>
              <w:t>Průměrná dopravní bezpečnost</w:t>
            </w:r>
          </w:p>
          <w:p w:rsidR="002026B7" w:rsidRDefault="002026B7" w:rsidP="00A60AC9">
            <w:pPr>
              <w:pStyle w:val="Odstavecseseznamem"/>
              <w:numPr>
                <w:ilvl w:val="0"/>
                <w:numId w:val="7"/>
              </w:numPr>
            </w:pPr>
            <w:r>
              <w:t>Chybějící prostředky na nákladnou bezpečnou dopravní infrastrukturu</w:t>
            </w:r>
          </w:p>
        </w:tc>
      </w:tr>
      <w:tr w:rsidR="00B53EF4" w:rsidTr="007C7069">
        <w:trPr>
          <w:cantSplit/>
        </w:trPr>
        <w:tc>
          <w:tcPr>
            <w:tcW w:w="4606" w:type="dxa"/>
            <w:shd w:val="clear" w:color="auto" w:fill="B8CCE4" w:themeFill="accent1" w:themeFillTint="66"/>
          </w:tcPr>
          <w:p w:rsidR="00B53EF4" w:rsidRPr="000F7E1C" w:rsidRDefault="00B53EF4" w:rsidP="007C7069">
            <w:pPr>
              <w:rPr>
                <w:b/>
              </w:rPr>
            </w:pPr>
            <w:r w:rsidRPr="000F7E1C">
              <w:rPr>
                <w:b/>
              </w:rPr>
              <w:t>O „Příležitosti“</w:t>
            </w:r>
          </w:p>
        </w:tc>
        <w:tc>
          <w:tcPr>
            <w:tcW w:w="4606" w:type="dxa"/>
            <w:shd w:val="clear" w:color="auto" w:fill="E5B8B7" w:themeFill="accent2" w:themeFillTint="66"/>
          </w:tcPr>
          <w:p w:rsidR="00B53EF4" w:rsidRPr="000F7E1C" w:rsidRDefault="00B53EF4" w:rsidP="007C7069">
            <w:pPr>
              <w:rPr>
                <w:b/>
              </w:rPr>
            </w:pPr>
            <w:r w:rsidRPr="000F7E1C">
              <w:rPr>
                <w:b/>
              </w:rPr>
              <w:t>T „Hrozby“</w:t>
            </w:r>
          </w:p>
        </w:tc>
      </w:tr>
      <w:tr w:rsidR="00B53EF4" w:rsidTr="007C7069">
        <w:trPr>
          <w:cantSplit/>
          <w:trHeight w:val="2829"/>
        </w:trPr>
        <w:tc>
          <w:tcPr>
            <w:tcW w:w="4606" w:type="dxa"/>
            <w:shd w:val="clear" w:color="auto" w:fill="DBE5F1" w:themeFill="accent1" w:themeFillTint="33"/>
          </w:tcPr>
          <w:p w:rsidR="00B53EF4" w:rsidRDefault="00B53EF4" w:rsidP="00A60AC9">
            <w:pPr>
              <w:pStyle w:val="Odstavecseseznamem"/>
              <w:numPr>
                <w:ilvl w:val="0"/>
                <w:numId w:val="33"/>
              </w:numPr>
            </w:pPr>
            <w:r>
              <w:t>Dostupnost bezpečnostních technických prvků</w:t>
            </w:r>
          </w:p>
          <w:p w:rsidR="002026B7" w:rsidRDefault="002026B7" w:rsidP="00A60AC9">
            <w:pPr>
              <w:pStyle w:val="Odstavecseseznamem"/>
              <w:numPr>
                <w:ilvl w:val="0"/>
                <w:numId w:val="33"/>
              </w:numPr>
            </w:pPr>
            <w:r>
              <w:t>Možnost čerpání prostředků ze SF EU na bezpečnou dopravní infrastrukturu</w:t>
            </w:r>
          </w:p>
        </w:tc>
        <w:tc>
          <w:tcPr>
            <w:tcW w:w="4606" w:type="dxa"/>
            <w:shd w:val="clear" w:color="auto" w:fill="F2DBDB" w:themeFill="accent2" w:themeFillTint="33"/>
          </w:tcPr>
          <w:p w:rsidR="00B53EF4" w:rsidRDefault="00B53EF4" w:rsidP="00A60AC9">
            <w:pPr>
              <w:pStyle w:val="Odstavecseseznamem"/>
              <w:numPr>
                <w:ilvl w:val="0"/>
                <w:numId w:val="32"/>
              </w:numPr>
            </w:pPr>
            <w:r>
              <w:t>Rostoucí hustota dopravy</w:t>
            </w:r>
          </w:p>
          <w:p w:rsidR="00B53EF4" w:rsidRDefault="00B53EF4" w:rsidP="00A60AC9">
            <w:pPr>
              <w:pStyle w:val="Odstavecseseznamem"/>
              <w:numPr>
                <w:ilvl w:val="0"/>
                <w:numId w:val="32"/>
              </w:numPr>
            </w:pPr>
            <w:r>
              <w:t>Zhoršující se chování některých účastníků provozu</w:t>
            </w:r>
          </w:p>
        </w:tc>
      </w:tr>
    </w:tbl>
    <w:p w:rsidR="00B53EF4" w:rsidRDefault="00B53EF4" w:rsidP="000922FE">
      <w:pPr>
        <w:rPr>
          <w:highlight w:val="magenta"/>
        </w:rPr>
      </w:pPr>
    </w:p>
    <w:p w:rsidR="002026B7" w:rsidRDefault="002026B7" w:rsidP="00A60AC9">
      <w:pPr>
        <w:pStyle w:val="Odstavecseseznamem"/>
        <w:numPr>
          <w:ilvl w:val="0"/>
          <w:numId w:val="35"/>
        </w:numPr>
      </w:pPr>
      <w:r>
        <w:t>Z analýzy a výsledné SWOT analýzy vyplývá zejména potřeba řešení bezpečnosti v oblasti dopravy. Z regionální poptávky vyplývají níže uvedená opatření.</w:t>
      </w:r>
    </w:p>
    <w:p w:rsidR="002026B7" w:rsidRDefault="002026B7" w:rsidP="00A60AC9">
      <w:pPr>
        <w:pStyle w:val="Odstavecseseznamem"/>
        <w:numPr>
          <w:ilvl w:val="1"/>
          <w:numId w:val="31"/>
        </w:numPr>
      </w:pPr>
      <w:r>
        <w:t>Budování bezpečných komunikací, oddělení motorové a bezmotorové dopravy, zvýšení bezpečnosti chodců budováním chodníků nebo jinak oddělených z</w:t>
      </w:r>
      <w:r w:rsidR="00634342">
        <w:t>ón. Zejména v oblasti bezpečnosti dětí je v rámci meziobecní spolupráce podporováno budování cyklostezek pro děti dojíždějící do škol v jiných obcích. Toto by vedlo také ke snížení závislosti na autobusové dopravě. Financování  těchto projektů by mohlo být umožněno díky</w:t>
      </w:r>
      <w:r>
        <w:t xml:space="preserve"> využívání prostředků Strukturálních fondů EU.</w:t>
      </w:r>
    </w:p>
    <w:p w:rsidR="00634342" w:rsidRDefault="00634342" w:rsidP="00A60AC9">
      <w:pPr>
        <w:pStyle w:val="Odstavecseseznamem"/>
        <w:numPr>
          <w:ilvl w:val="1"/>
          <w:numId w:val="31"/>
        </w:numPr>
      </w:pPr>
      <w:r>
        <w:t xml:space="preserve">Využívání technických prvků zvyšujících bezpečnost. Zde řada zástupců obcí i obyvatel podporuje instalaci zejména měřičů rychlosti s ukazatelem aktuální rychlosti dopravních prostředků projíždějících obcí, což na řidiče působí jednak informativně, ale také psychologicky. Financování v této oblasti je únosné </w:t>
      </w:r>
      <w:r w:rsidR="00615029">
        <w:t xml:space="preserve">buď individuálně </w:t>
      </w:r>
      <w:r>
        <w:t>z vlastních zdrojů obcí a měst</w:t>
      </w:r>
      <w:r w:rsidR="00615029">
        <w:t xml:space="preserve"> nebo při vytvoření projektu meziobecní spolupráce také s dotační podporou.</w:t>
      </w:r>
    </w:p>
    <w:p w:rsidR="002026B7" w:rsidRDefault="003F57DF" w:rsidP="00A60AC9">
      <w:pPr>
        <w:pStyle w:val="Odstavecseseznamem"/>
        <w:numPr>
          <w:ilvl w:val="0"/>
          <w:numId w:val="35"/>
        </w:numPr>
      </w:pPr>
      <w:r>
        <w:lastRenderedPageBreak/>
        <w:t>Dále je nezbytné alespoň udržení stávající úrovně v oblasti osobní bezpečnosti a prevence kriminality.</w:t>
      </w:r>
    </w:p>
    <w:p w:rsidR="003F57DF" w:rsidRPr="003F57DF" w:rsidRDefault="000A5F4F" w:rsidP="00A60AC9">
      <w:pPr>
        <w:pStyle w:val="Odstavecseseznamem"/>
        <w:numPr>
          <w:ilvl w:val="1"/>
          <w:numId w:val="35"/>
        </w:numPr>
      </w:pPr>
      <w:r>
        <w:t>Vhodným opatřením je obnova a instalace technických prvků (zejména veřejné osvětlení). V regionu se stále vyskytují obce, kde není vybudované veřejné osvětlení nebo není dobudované do všech částí obcí. V řadě obcí osvětlení již zastarává</w:t>
      </w:r>
      <w:r w:rsidR="00F27604">
        <w:t xml:space="preserve"> a</w:t>
      </w:r>
      <w:r>
        <w:t xml:space="preserve"> je nutná jeho obnova. Bez financování ze SF EU je možná menší údržba nebo menší dobudování sítě. Větší projekty nejsou pro řadu obcí bez dotací finančně únosné.</w:t>
      </w:r>
    </w:p>
    <w:p w:rsidR="00555192" w:rsidRDefault="00555192" w:rsidP="009F4D7F">
      <w:pPr>
        <w:pStyle w:val="Nadpis3"/>
      </w:pPr>
      <w:bookmarkStart w:id="32" w:name="_Toc430006506"/>
      <w:r>
        <w:t>Zemědělství</w:t>
      </w:r>
      <w:r w:rsidR="00161340">
        <w:t>,</w:t>
      </w:r>
      <w:r>
        <w:t xml:space="preserve"> potravinářství</w:t>
      </w:r>
      <w:r w:rsidR="00161340">
        <w:t xml:space="preserve"> a lesnictví</w:t>
      </w:r>
      <w:bookmarkEnd w:id="32"/>
    </w:p>
    <w:p w:rsidR="002A6C67" w:rsidRPr="002A6C67" w:rsidRDefault="002A6C67" w:rsidP="002A6C67">
      <w:pPr>
        <w:pStyle w:val="Nadpis4"/>
      </w:pPr>
      <w:r>
        <w:t>Zemědělství</w:t>
      </w:r>
    </w:p>
    <w:p w:rsidR="0053411C" w:rsidRDefault="00AA5F26" w:rsidP="0053411C">
      <w:r>
        <w:t>Region působnosti MAS Litomyšlsko</w:t>
      </w:r>
      <w:r w:rsidR="005B078E">
        <w:t xml:space="preserve"> je silně zemědělským regionem. Celkově s plochou zemědělské půdy zabírající 73,6 % území </w:t>
      </w:r>
      <w:r w:rsidR="009F4372">
        <w:t>tak tímto poměrem přesahuje jak průměr Pardubického kraje (60,0 % zemědělské půdy) tak i průměr České republiky, který činí 53,5 % území. Rovněž samotná orná půda zaujímá 58,9 % území MAS, což přesahuje jak republikový, tak všechny krajské průměry.</w:t>
      </w:r>
      <w:r w:rsidR="009F4372">
        <w:rPr>
          <w:rStyle w:val="Znakapoznpodarou"/>
        </w:rPr>
        <w:footnoteReference w:id="39"/>
      </w:r>
    </w:p>
    <w:tbl>
      <w:tblPr>
        <w:tblW w:w="9160" w:type="dxa"/>
        <w:tblInd w:w="70" w:type="dxa"/>
        <w:tblCellMar>
          <w:left w:w="70" w:type="dxa"/>
          <w:right w:w="70" w:type="dxa"/>
        </w:tblCellMar>
        <w:tblLook w:val="04A0"/>
      </w:tblPr>
      <w:tblGrid>
        <w:gridCol w:w="2100"/>
        <w:gridCol w:w="960"/>
        <w:gridCol w:w="960"/>
        <w:gridCol w:w="960"/>
        <w:gridCol w:w="960"/>
        <w:gridCol w:w="960"/>
        <w:gridCol w:w="960"/>
        <w:gridCol w:w="1300"/>
      </w:tblGrid>
      <w:tr w:rsidR="00AF67DA" w:rsidRPr="00AF67DA" w:rsidTr="00FB558C">
        <w:trPr>
          <w:trHeight w:val="300"/>
        </w:trPr>
        <w:tc>
          <w:tcPr>
            <w:tcW w:w="2100" w:type="dxa"/>
            <w:vMerge w:val="restart"/>
            <w:tcBorders>
              <w:top w:val="nil"/>
              <w:left w:val="nil"/>
              <w:bottom w:val="single" w:sz="4" w:space="0" w:color="000000"/>
              <w:right w:val="nil"/>
            </w:tcBorders>
            <w:shd w:val="clear" w:color="000000" w:fill="17375D"/>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Obec název</w:t>
            </w:r>
          </w:p>
        </w:tc>
        <w:tc>
          <w:tcPr>
            <w:tcW w:w="960" w:type="dxa"/>
            <w:vMerge w:val="restart"/>
            <w:tcBorders>
              <w:top w:val="nil"/>
              <w:left w:val="nil"/>
              <w:bottom w:val="single" w:sz="4" w:space="0" w:color="000000"/>
              <w:right w:val="nil"/>
            </w:tcBorders>
            <w:shd w:val="clear" w:color="000000" w:fill="538ED5"/>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Celková výměra (ha)</w:t>
            </w:r>
          </w:p>
        </w:tc>
        <w:tc>
          <w:tcPr>
            <w:tcW w:w="960" w:type="dxa"/>
            <w:vMerge w:val="restart"/>
            <w:tcBorders>
              <w:top w:val="nil"/>
              <w:left w:val="nil"/>
              <w:bottom w:val="single" w:sz="4" w:space="0" w:color="000000"/>
              <w:right w:val="nil"/>
            </w:tcBorders>
            <w:shd w:val="clear" w:color="000000" w:fill="538ED5"/>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Podíl</w:t>
            </w:r>
            <w:r w:rsidR="00AA5F26">
              <w:rPr>
                <w:rFonts w:ascii="Arial" w:hAnsi="Arial" w:cs="Arial"/>
                <w:b/>
                <w:bCs/>
                <w:color w:val="FFFFFF"/>
                <w:sz w:val="16"/>
                <w:szCs w:val="16"/>
                <w:lang w:eastAsia="cs-CZ"/>
              </w:rPr>
              <w:t xml:space="preserve"> obce</w:t>
            </w:r>
            <w:r w:rsidRPr="00AF67DA">
              <w:rPr>
                <w:rFonts w:ascii="Arial" w:hAnsi="Arial" w:cs="Arial"/>
                <w:b/>
                <w:bCs/>
                <w:color w:val="FFFFFF"/>
                <w:sz w:val="16"/>
                <w:szCs w:val="16"/>
                <w:lang w:eastAsia="cs-CZ"/>
              </w:rPr>
              <w:t xml:space="preserve"> na území MAS</w:t>
            </w:r>
          </w:p>
        </w:tc>
        <w:tc>
          <w:tcPr>
            <w:tcW w:w="96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r w:rsidRPr="00AF67DA">
              <w:rPr>
                <w:rFonts w:ascii="Calibri" w:hAnsi="Calibri" w:cs="Calibri"/>
                <w:color w:val="000000"/>
                <w:szCs w:val="22"/>
                <w:lang w:eastAsia="cs-CZ"/>
              </w:rPr>
              <w:t> </w:t>
            </w:r>
          </w:p>
        </w:tc>
        <w:tc>
          <w:tcPr>
            <w:tcW w:w="96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r w:rsidRPr="00AF67DA">
              <w:rPr>
                <w:rFonts w:ascii="Calibri" w:hAnsi="Calibri" w:cs="Calibri"/>
                <w:color w:val="000000"/>
                <w:szCs w:val="22"/>
                <w:lang w:eastAsia="cs-CZ"/>
              </w:rPr>
              <w:t> </w:t>
            </w:r>
          </w:p>
        </w:tc>
        <w:tc>
          <w:tcPr>
            <w:tcW w:w="96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r w:rsidRPr="00AF67DA">
              <w:rPr>
                <w:rFonts w:ascii="Calibri" w:hAnsi="Calibri" w:cs="Calibri"/>
                <w:color w:val="000000"/>
                <w:szCs w:val="22"/>
                <w:lang w:eastAsia="cs-CZ"/>
              </w:rPr>
              <w:t> </w:t>
            </w:r>
          </w:p>
        </w:tc>
        <w:tc>
          <w:tcPr>
            <w:tcW w:w="96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r w:rsidRPr="00AF67DA">
              <w:rPr>
                <w:rFonts w:ascii="Calibri" w:hAnsi="Calibri" w:cs="Calibri"/>
                <w:color w:val="000000"/>
                <w:szCs w:val="22"/>
                <w:lang w:eastAsia="cs-CZ"/>
              </w:rPr>
              <w:t> </w:t>
            </w:r>
          </w:p>
        </w:tc>
        <w:tc>
          <w:tcPr>
            <w:tcW w:w="1300" w:type="dxa"/>
            <w:vMerge w:val="restart"/>
            <w:tcBorders>
              <w:top w:val="nil"/>
              <w:left w:val="nil"/>
              <w:bottom w:val="single" w:sz="4" w:space="0" w:color="000000"/>
              <w:right w:val="nil"/>
            </w:tcBorders>
            <w:shd w:val="clear" w:color="000000" w:fill="4F6228"/>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Zemědělská půda c</w:t>
            </w:r>
            <w:r w:rsidR="0053411C">
              <w:rPr>
                <w:rFonts w:ascii="Arial" w:hAnsi="Arial" w:cs="Arial"/>
                <w:b/>
                <w:bCs/>
                <w:color w:val="FFFFFF"/>
                <w:sz w:val="16"/>
                <w:szCs w:val="16"/>
                <w:lang w:eastAsia="cs-CZ"/>
              </w:rPr>
              <w:t>e</w:t>
            </w:r>
            <w:r w:rsidRPr="00AF67DA">
              <w:rPr>
                <w:rFonts w:ascii="Arial" w:hAnsi="Arial" w:cs="Arial"/>
                <w:b/>
                <w:bCs/>
                <w:color w:val="FFFFFF"/>
                <w:sz w:val="16"/>
                <w:szCs w:val="16"/>
                <w:lang w:eastAsia="cs-CZ"/>
              </w:rPr>
              <w:t>lkem</w:t>
            </w:r>
          </w:p>
        </w:tc>
      </w:tr>
      <w:tr w:rsidR="00AF67DA" w:rsidRPr="00AF67DA" w:rsidTr="00FB558C">
        <w:trPr>
          <w:trHeight w:val="900"/>
        </w:trPr>
        <w:tc>
          <w:tcPr>
            <w:tcW w:w="2100" w:type="dxa"/>
            <w:vMerge/>
            <w:tcBorders>
              <w:top w:val="nil"/>
              <w:left w:val="nil"/>
              <w:bottom w:val="single" w:sz="4" w:space="0" w:color="000000"/>
              <w:right w:val="nil"/>
            </w:tcBorders>
            <w:vAlign w:val="center"/>
            <w:hideMark/>
          </w:tcPr>
          <w:p w:rsidR="00AF67DA" w:rsidRPr="00AF67DA" w:rsidRDefault="00AF67DA" w:rsidP="00AF67DA">
            <w:pPr>
              <w:suppressAutoHyphens w:val="0"/>
              <w:spacing w:after="0"/>
              <w:jc w:val="left"/>
              <w:rPr>
                <w:rFonts w:ascii="Arial" w:hAnsi="Arial" w:cs="Arial"/>
                <w:b/>
                <w:bCs/>
                <w:color w:val="FFFFFF"/>
                <w:sz w:val="16"/>
                <w:szCs w:val="16"/>
                <w:lang w:eastAsia="cs-CZ"/>
              </w:rPr>
            </w:pPr>
          </w:p>
        </w:tc>
        <w:tc>
          <w:tcPr>
            <w:tcW w:w="960" w:type="dxa"/>
            <w:vMerge/>
            <w:tcBorders>
              <w:top w:val="nil"/>
              <w:left w:val="nil"/>
              <w:bottom w:val="single" w:sz="4" w:space="0" w:color="000000"/>
              <w:right w:val="nil"/>
            </w:tcBorders>
            <w:vAlign w:val="center"/>
            <w:hideMark/>
          </w:tcPr>
          <w:p w:rsidR="00AF67DA" w:rsidRPr="00AF67DA" w:rsidRDefault="00AF67DA" w:rsidP="00AF67DA">
            <w:pPr>
              <w:suppressAutoHyphens w:val="0"/>
              <w:spacing w:after="0"/>
              <w:jc w:val="left"/>
              <w:rPr>
                <w:rFonts w:ascii="Arial" w:hAnsi="Arial" w:cs="Arial"/>
                <w:b/>
                <w:bCs/>
                <w:color w:val="FFFFFF"/>
                <w:sz w:val="16"/>
                <w:szCs w:val="16"/>
                <w:lang w:eastAsia="cs-CZ"/>
              </w:rPr>
            </w:pPr>
          </w:p>
        </w:tc>
        <w:tc>
          <w:tcPr>
            <w:tcW w:w="960" w:type="dxa"/>
            <w:vMerge/>
            <w:tcBorders>
              <w:top w:val="nil"/>
              <w:left w:val="nil"/>
              <w:bottom w:val="single" w:sz="4" w:space="0" w:color="000000"/>
              <w:right w:val="nil"/>
            </w:tcBorders>
            <w:vAlign w:val="center"/>
            <w:hideMark/>
          </w:tcPr>
          <w:p w:rsidR="00AF67DA" w:rsidRPr="00AF67DA" w:rsidRDefault="00AF67DA" w:rsidP="00AF67DA">
            <w:pPr>
              <w:suppressAutoHyphens w:val="0"/>
              <w:spacing w:after="0"/>
              <w:jc w:val="left"/>
              <w:rPr>
                <w:rFonts w:ascii="Arial" w:hAnsi="Arial" w:cs="Arial"/>
                <w:b/>
                <w:bCs/>
                <w:color w:val="FFFFFF"/>
                <w:sz w:val="16"/>
                <w:szCs w:val="16"/>
                <w:lang w:eastAsia="cs-CZ"/>
              </w:rPr>
            </w:pPr>
          </w:p>
        </w:tc>
        <w:tc>
          <w:tcPr>
            <w:tcW w:w="960" w:type="dxa"/>
            <w:tcBorders>
              <w:top w:val="single" w:sz="4" w:space="0" w:color="auto"/>
              <w:left w:val="single" w:sz="4" w:space="0" w:color="auto"/>
              <w:bottom w:val="single" w:sz="4" w:space="0" w:color="auto"/>
              <w:right w:val="single" w:sz="4" w:space="0" w:color="auto"/>
            </w:tcBorders>
            <w:shd w:val="clear" w:color="000000" w:fill="75923C"/>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Orná půda</w:t>
            </w:r>
          </w:p>
        </w:tc>
        <w:tc>
          <w:tcPr>
            <w:tcW w:w="960" w:type="dxa"/>
            <w:tcBorders>
              <w:top w:val="single" w:sz="4" w:space="0" w:color="auto"/>
              <w:left w:val="nil"/>
              <w:bottom w:val="single" w:sz="4" w:space="0" w:color="auto"/>
              <w:right w:val="single" w:sz="4" w:space="0" w:color="auto"/>
            </w:tcBorders>
            <w:shd w:val="clear" w:color="000000" w:fill="75923C"/>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Zahrady</w:t>
            </w:r>
          </w:p>
        </w:tc>
        <w:tc>
          <w:tcPr>
            <w:tcW w:w="960" w:type="dxa"/>
            <w:tcBorders>
              <w:top w:val="single" w:sz="4" w:space="0" w:color="auto"/>
              <w:left w:val="nil"/>
              <w:bottom w:val="single" w:sz="4" w:space="0" w:color="auto"/>
              <w:right w:val="single" w:sz="4" w:space="0" w:color="auto"/>
            </w:tcBorders>
            <w:shd w:val="clear" w:color="000000" w:fill="75923C"/>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 xml:space="preserve">Ovocné sady </w:t>
            </w:r>
          </w:p>
        </w:tc>
        <w:tc>
          <w:tcPr>
            <w:tcW w:w="960" w:type="dxa"/>
            <w:tcBorders>
              <w:top w:val="single" w:sz="4" w:space="0" w:color="auto"/>
              <w:left w:val="nil"/>
              <w:bottom w:val="single" w:sz="4" w:space="0" w:color="auto"/>
              <w:right w:val="single" w:sz="4" w:space="0" w:color="auto"/>
            </w:tcBorders>
            <w:shd w:val="clear" w:color="000000" w:fill="75923C"/>
            <w:vAlign w:val="center"/>
            <w:hideMark/>
          </w:tcPr>
          <w:p w:rsidR="00AF67DA" w:rsidRPr="00AF67DA" w:rsidRDefault="00AF67DA" w:rsidP="00AF67DA">
            <w:pPr>
              <w:suppressAutoHyphens w:val="0"/>
              <w:spacing w:after="0"/>
              <w:jc w:val="center"/>
              <w:rPr>
                <w:rFonts w:ascii="Arial" w:hAnsi="Arial" w:cs="Arial"/>
                <w:b/>
                <w:bCs/>
                <w:color w:val="FFFFFF"/>
                <w:sz w:val="16"/>
                <w:szCs w:val="16"/>
                <w:lang w:eastAsia="cs-CZ"/>
              </w:rPr>
            </w:pPr>
            <w:r w:rsidRPr="00AF67DA">
              <w:rPr>
                <w:rFonts w:ascii="Arial" w:hAnsi="Arial" w:cs="Arial"/>
                <w:b/>
                <w:bCs/>
                <w:color w:val="FFFFFF"/>
                <w:sz w:val="16"/>
                <w:szCs w:val="16"/>
                <w:lang w:eastAsia="cs-CZ"/>
              </w:rPr>
              <w:t>Trvalé travní porosty</w:t>
            </w:r>
          </w:p>
        </w:tc>
        <w:tc>
          <w:tcPr>
            <w:tcW w:w="1300" w:type="dxa"/>
            <w:vMerge/>
            <w:tcBorders>
              <w:top w:val="nil"/>
              <w:left w:val="nil"/>
              <w:bottom w:val="single" w:sz="4" w:space="0" w:color="000000"/>
              <w:right w:val="nil"/>
            </w:tcBorders>
            <w:vAlign w:val="center"/>
            <w:hideMark/>
          </w:tcPr>
          <w:p w:rsidR="00AF67DA" w:rsidRPr="00AF67DA" w:rsidRDefault="00AF67DA" w:rsidP="00AF67DA">
            <w:pPr>
              <w:suppressAutoHyphens w:val="0"/>
              <w:spacing w:after="0"/>
              <w:jc w:val="left"/>
              <w:rPr>
                <w:rFonts w:ascii="Arial" w:hAnsi="Arial" w:cs="Arial"/>
                <w:b/>
                <w:bCs/>
                <w:color w:val="FFFFFF"/>
                <w:sz w:val="16"/>
                <w:szCs w:val="16"/>
                <w:lang w:eastAsia="cs-CZ"/>
              </w:rPr>
            </w:pP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Benátky</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478,5</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76,7%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7,8%</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87,7%</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Bohuňovice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423,1</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73,7%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10,1%</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87,3%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Bor u Skutče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435,3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44,1%</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Bučina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382,6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75,6%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4,8%</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84,2%</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Budislav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805,7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23,0%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46,2%</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Cerekvice nad Loučnou</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829,1</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66,2%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17,2%</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86,4%</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České Heřmanice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997,1</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71,7%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81,3%</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Čistá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2520,5</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63,1%</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Desná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477,7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86,8%</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Dolní Újezd</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1970,6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75,1%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85,0%</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Hluboká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733,8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51,5%</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Horky</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267,3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79,9%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Horní Újezd</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773,9</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74,9%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7,3%</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85,5%</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lastRenderedPageBreak/>
              <w:t>Hrušová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608,0</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69,7%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14,1%</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85,7%</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Chmelík</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953,9</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53,6%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62,9%</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Chotěnov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399,6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85,2%</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Chotovice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320,2</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73,2%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88,4%</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Janov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2467,7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41,4%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6,1%</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49,3%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Jarošov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512,8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46,7%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61,5%</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Javorník</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548,3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81,1%</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Leština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1073,4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56,9%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16,5%</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76,4%</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Libecina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481,7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63,2%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76,9%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Litomyšl</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3344,9</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53,1%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72,1%</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Lubná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1984,8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44,2%</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Makov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689,8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74,9%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4,8%</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82,0%</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Morašice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1242,7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75,3%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7,3%</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85,8%</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Němčice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1316,7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49,9%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65,7%</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Nová Sídla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294,9</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58,6%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Nová Ves u Jarošova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238,3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57,8%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83,1%</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Nové Hrady</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672,5</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47,4%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15,6%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65,8%</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Osík</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1261,7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74,8%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6,0%</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88,0%</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Ostrov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417,8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88,7%</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Otradov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554,2</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49,8%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22,5%</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74,4%</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Perálec</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456,5</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29,1%</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83,3%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Poříčí u Litomyšle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650,6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19,3%</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75,0%</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Proseč</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3403,1</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23,7%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50,2%</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Příluka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381,4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78,9%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90,9%</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Pustina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283,4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2,0%</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Řídký</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141,4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46,7%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31,9%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80,6%</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Sebranice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1168,8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69,5%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79,3%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Sedliště</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369,3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77,0%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86,9%</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Sloupnice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2791,2</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52,6%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Strakov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852,8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26,4%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8,2%</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36,3%</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Suchá Lhota</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218,6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68,3%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9,9%</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80,8%</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Tisová</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1096,6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64,7%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82,2%</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Trstěnice</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2147,4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43,5%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5,8%</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51,4%</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Tržek</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171,0</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38,6%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79,4%</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Újezdec</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345,6</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87,7%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90,9%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Vidlatá Seč</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610,3</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76,3%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82,1%</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Vlčkov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283,4</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36,5%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20,0%</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58,9%</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Vračovice-Orlov</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291,5</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0,6%</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65,0%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9,4%</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79,1%</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Vysoké Mýto</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4202,7</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55,0%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13,7%</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72,3%</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Zádolí</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426,0</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0,8%</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5,8%</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58,4%</w:t>
            </w:r>
          </w:p>
        </w:tc>
      </w:tr>
      <w:tr w:rsidR="00AF67DA" w:rsidRPr="00AF67DA" w:rsidTr="00FB558C">
        <w:trPr>
          <w:trHeight w:val="300"/>
        </w:trPr>
        <w:tc>
          <w:tcPr>
            <w:tcW w:w="2100" w:type="dxa"/>
            <w:tcBorders>
              <w:top w:val="nil"/>
              <w:left w:val="nil"/>
              <w:bottom w:val="nil"/>
              <w:right w:val="nil"/>
            </w:tcBorders>
            <w:shd w:val="clear" w:color="000000" w:fill="8DB4E3"/>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Zálší</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772,8</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1,5%</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50,1%</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2,0%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16,0%</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68,1%</w:t>
            </w:r>
          </w:p>
        </w:tc>
      </w:tr>
      <w:tr w:rsidR="00AF67DA" w:rsidRPr="00AF67DA" w:rsidTr="00FB558C">
        <w:trPr>
          <w:trHeight w:val="300"/>
        </w:trPr>
        <w:tc>
          <w:tcPr>
            <w:tcW w:w="2100" w:type="dxa"/>
            <w:tcBorders>
              <w:top w:val="nil"/>
              <w:left w:val="nil"/>
              <w:bottom w:val="nil"/>
              <w:right w:val="nil"/>
            </w:tcBorders>
            <w:shd w:val="clear" w:color="000000" w:fill="DBE5F1"/>
            <w:noWrap/>
            <w:vAlign w:val="center"/>
            <w:hideMark/>
          </w:tcPr>
          <w:p w:rsidR="00AF67DA" w:rsidRPr="00AF67DA" w:rsidRDefault="00AF67DA" w:rsidP="00AF67DA">
            <w:pPr>
              <w:suppressAutoHyphens w:val="0"/>
              <w:spacing w:after="0"/>
              <w:jc w:val="left"/>
              <w:rPr>
                <w:rFonts w:ascii="Arial" w:hAnsi="Arial" w:cs="Arial"/>
                <w:sz w:val="18"/>
                <w:szCs w:val="18"/>
                <w:lang w:eastAsia="cs-CZ"/>
              </w:rPr>
            </w:pPr>
            <w:r w:rsidRPr="00AF67DA">
              <w:rPr>
                <w:rFonts w:ascii="Arial" w:hAnsi="Arial" w:cs="Arial"/>
                <w:sz w:val="18"/>
                <w:szCs w:val="18"/>
                <w:lang w:eastAsia="cs-CZ"/>
              </w:rPr>
              <w:t>Zderaz</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661,1</w:t>
            </w:r>
          </w:p>
        </w:tc>
        <w:tc>
          <w:tcPr>
            <w:tcW w:w="960" w:type="dxa"/>
            <w:tcBorders>
              <w:top w:val="nil"/>
              <w:left w:val="nil"/>
              <w:bottom w:val="nil"/>
              <w:right w:val="nil"/>
            </w:tcBorders>
            <w:shd w:val="clear" w:color="000000" w:fill="B8CCE4"/>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34,0%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0,2%</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8,0%</w:t>
            </w:r>
          </w:p>
        </w:tc>
        <w:tc>
          <w:tcPr>
            <w:tcW w:w="1300" w:type="dxa"/>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44,1%</w:t>
            </w:r>
          </w:p>
        </w:tc>
      </w:tr>
      <w:tr w:rsidR="00AF67DA" w:rsidRPr="00AF67DA" w:rsidTr="00FB558C">
        <w:trPr>
          <w:trHeight w:val="300"/>
        </w:trPr>
        <w:tc>
          <w:tcPr>
            <w:tcW w:w="2100" w:type="dxa"/>
            <w:tcBorders>
              <w:top w:val="nil"/>
              <w:left w:val="nil"/>
              <w:bottom w:val="nil"/>
              <w:right w:val="nil"/>
            </w:tcBorders>
            <w:shd w:val="clear" w:color="auto" w:fill="auto"/>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p>
        </w:tc>
        <w:tc>
          <w:tcPr>
            <w:tcW w:w="1920" w:type="dxa"/>
            <w:gridSpan w:val="2"/>
            <w:tcBorders>
              <w:top w:val="nil"/>
              <w:left w:val="nil"/>
              <w:bottom w:val="nil"/>
              <w:right w:val="nil"/>
            </w:tcBorders>
            <w:shd w:val="clear" w:color="000000" w:fill="17375D"/>
            <w:noWrap/>
            <w:vAlign w:val="bottom"/>
            <w:hideMark/>
          </w:tcPr>
          <w:p w:rsidR="00AF67DA" w:rsidRPr="00AF67DA" w:rsidRDefault="00AF67DA" w:rsidP="00AF67DA">
            <w:pPr>
              <w:suppressAutoHyphens w:val="0"/>
              <w:spacing w:after="0"/>
              <w:jc w:val="center"/>
              <w:rPr>
                <w:rFonts w:ascii="Calibri" w:hAnsi="Calibri" w:cs="Calibri"/>
                <w:b/>
                <w:bCs/>
                <w:color w:val="FFFFFF"/>
                <w:szCs w:val="22"/>
                <w:lang w:eastAsia="cs-CZ"/>
              </w:rPr>
            </w:pPr>
            <w:r w:rsidRPr="00AF67DA">
              <w:rPr>
                <w:rFonts w:ascii="Calibri" w:hAnsi="Calibri" w:cs="Calibri"/>
                <w:b/>
                <w:bCs/>
                <w:color w:val="FFFFFF"/>
                <w:szCs w:val="22"/>
                <w:lang w:eastAsia="cs-CZ"/>
              </w:rPr>
              <w:t>Celkem</w:t>
            </w:r>
          </w:p>
        </w:tc>
        <w:tc>
          <w:tcPr>
            <w:tcW w:w="5140" w:type="dxa"/>
            <w:gridSpan w:val="5"/>
            <w:tcBorders>
              <w:top w:val="nil"/>
              <w:left w:val="nil"/>
              <w:bottom w:val="nil"/>
              <w:right w:val="nil"/>
            </w:tcBorders>
            <w:shd w:val="clear" w:color="000000" w:fill="4F6228"/>
            <w:noWrap/>
            <w:vAlign w:val="bottom"/>
            <w:hideMark/>
          </w:tcPr>
          <w:p w:rsidR="00AF67DA" w:rsidRPr="00AF67DA" w:rsidRDefault="00AF67DA" w:rsidP="00AF67DA">
            <w:pPr>
              <w:suppressAutoHyphens w:val="0"/>
              <w:spacing w:after="0"/>
              <w:jc w:val="center"/>
              <w:rPr>
                <w:rFonts w:ascii="Arial" w:hAnsi="Arial" w:cs="Arial"/>
                <w:b/>
                <w:bCs/>
                <w:color w:val="FFFFFF"/>
                <w:sz w:val="18"/>
                <w:szCs w:val="18"/>
                <w:lang w:eastAsia="cs-CZ"/>
              </w:rPr>
            </w:pPr>
            <w:r w:rsidRPr="00AF67DA">
              <w:rPr>
                <w:rFonts w:ascii="Arial" w:hAnsi="Arial" w:cs="Arial"/>
                <w:b/>
                <w:bCs/>
                <w:color w:val="FFFFFF"/>
                <w:sz w:val="18"/>
                <w:szCs w:val="18"/>
                <w:lang w:eastAsia="cs-CZ"/>
              </w:rPr>
              <w:t>Průměrně</w:t>
            </w:r>
          </w:p>
        </w:tc>
      </w:tr>
      <w:tr w:rsidR="00AF67DA" w:rsidRPr="00AF67DA" w:rsidTr="00FB558C">
        <w:trPr>
          <w:trHeight w:val="300"/>
        </w:trPr>
        <w:tc>
          <w:tcPr>
            <w:tcW w:w="2100" w:type="dxa"/>
            <w:tcBorders>
              <w:top w:val="nil"/>
              <w:left w:val="nil"/>
              <w:bottom w:val="nil"/>
              <w:right w:val="nil"/>
            </w:tcBorders>
            <w:shd w:val="clear" w:color="auto" w:fill="auto"/>
            <w:noWrap/>
            <w:vAlign w:val="bottom"/>
            <w:hideMark/>
          </w:tcPr>
          <w:p w:rsidR="00AF67DA" w:rsidRPr="00AF67DA" w:rsidRDefault="00AF67DA" w:rsidP="00AF67DA">
            <w:pPr>
              <w:suppressAutoHyphens w:val="0"/>
              <w:spacing w:after="0"/>
              <w:jc w:val="left"/>
              <w:rPr>
                <w:rFonts w:ascii="Calibri" w:hAnsi="Calibri" w:cs="Calibri"/>
                <w:color w:val="000000"/>
                <w:szCs w:val="22"/>
                <w:lang w:eastAsia="cs-CZ"/>
              </w:rPr>
            </w:pPr>
          </w:p>
        </w:tc>
        <w:tc>
          <w:tcPr>
            <w:tcW w:w="960" w:type="dxa"/>
            <w:tcBorders>
              <w:top w:val="nil"/>
              <w:left w:val="nil"/>
              <w:bottom w:val="nil"/>
              <w:right w:val="nil"/>
            </w:tcBorders>
            <w:shd w:val="clear" w:color="000000" w:fill="DBE5F1"/>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52204,5</w:t>
            </w:r>
          </w:p>
        </w:tc>
        <w:tc>
          <w:tcPr>
            <w:tcW w:w="960" w:type="dxa"/>
            <w:tcBorders>
              <w:top w:val="nil"/>
              <w:left w:val="nil"/>
              <w:bottom w:val="nil"/>
              <w:right w:val="nil"/>
            </w:tcBorders>
            <w:shd w:val="clear" w:color="000000" w:fill="DBE5F1"/>
            <w:noWrap/>
            <w:vAlign w:val="bottom"/>
            <w:hideMark/>
          </w:tcPr>
          <w:p w:rsidR="00AF67DA" w:rsidRPr="00AF67DA" w:rsidRDefault="00AF67DA" w:rsidP="00AF67DA">
            <w:pPr>
              <w:suppressAutoHyphens w:val="0"/>
              <w:spacing w:after="0"/>
              <w:jc w:val="right"/>
              <w:rPr>
                <w:rFonts w:ascii="Arial" w:hAnsi="Arial" w:cs="Arial"/>
                <w:color w:val="000000"/>
                <w:sz w:val="18"/>
                <w:szCs w:val="18"/>
                <w:lang w:eastAsia="cs-CZ"/>
              </w:rPr>
            </w:pPr>
            <w:r w:rsidRPr="00AF67DA">
              <w:rPr>
                <w:rFonts w:ascii="Arial" w:hAnsi="Arial" w:cs="Arial"/>
                <w:color w:val="000000"/>
                <w:sz w:val="18"/>
                <w:szCs w:val="18"/>
                <w:lang w:eastAsia="cs-CZ"/>
              </w:rPr>
              <w:t>100,0%</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58,9%</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2,7%</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0,3%</w:t>
            </w:r>
          </w:p>
        </w:tc>
        <w:tc>
          <w:tcPr>
            <w:tcW w:w="96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11,7%</w:t>
            </w:r>
          </w:p>
        </w:tc>
        <w:tc>
          <w:tcPr>
            <w:tcW w:w="1300" w:type="dxa"/>
            <w:tcBorders>
              <w:top w:val="nil"/>
              <w:left w:val="nil"/>
              <w:bottom w:val="nil"/>
              <w:right w:val="nil"/>
            </w:tcBorders>
            <w:shd w:val="clear" w:color="000000" w:fill="EAF1DD"/>
            <w:noWrap/>
            <w:vAlign w:val="bottom"/>
            <w:hideMark/>
          </w:tcPr>
          <w:p w:rsidR="00AF67DA" w:rsidRPr="00AF67DA" w:rsidRDefault="00AF67DA" w:rsidP="00AF67DA">
            <w:pPr>
              <w:suppressAutoHyphens w:val="0"/>
              <w:spacing w:after="0"/>
              <w:jc w:val="right"/>
              <w:rPr>
                <w:rFonts w:ascii="Calibri" w:hAnsi="Calibri" w:cs="Calibri"/>
                <w:color w:val="000000"/>
                <w:szCs w:val="22"/>
                <w:lang w:eastAsia="cs-CZ"/>
              </w:rPr>
            </w:pPr>
            <w:r w:rsidRPr="00AF67DA">
              <w:rPr>
                <w:rFonts w:ascii="Calibri" w:hAnsi="Calibri" w:cs="Calibri"/>
                <w:color w:val="000000"/>
                <w:szCs w:val="22"/>
                <w:lang w:eastAsia="cs-CZ"/>
              </w:rPr>
              <w:t>73,6%</w:t>
            </w:r>
          </w:p>
        </w:tc>
      </w:tr>
    </w:tbl>
    <w:p w:rsidR="00257306" w:rsidRPr="00257306" w:rsidRDefault="00FB558C" w:rsidP="00555192">
      <w:r>
        <w:lastRenderedPageBreak/>
        <w:t>Zdroj: ČSÚ</w:t>
      </w:r>
    </w:p>
    <w:p w:rsidR="00257306" w:rsidRDefault="007A4E5D" w:rsidP="00555192">
      <w:r>
        <w:t>V regionu působí několik zemědělský</w:t>
      </w:r>
      <w:r w:rsidR="001E03AA">
        <w:t>ch družstev nebo společností a řada drobných soukromých zemědělců. Převážně se ale</w:t>
      </w:r>
      <w:r w:rsidR="00257306">
        <w:t xml:space="preserve"> věnují zemědělské prvovýrobě a následnou výrobu konečných produktů včetně </w:t>
      </w:r>
      <w:r w:rsidR="00257306" w:rsidRPr="007A4E5D">
        <w:t xml:space="preserve">přidané hodnoty </w:t>
      </w:r>
      <w:r w:rsidRPr="007A4E5D">
        <w:t>plynoucí z lidské práce</w:t>
      </w:r>
      <w:r>
        <w:t xml:space="preserve"> provádějí převážně subjekty z jiných regionů (viz níže). </w:t>
      </w:r>
    </w:p>
    <w:p w:rsidR="007A4E5D" w:rsidRDefault="007A4E5D" w:rsidP="00555192">
      <w:r>
        <w:t>Činnost zemědělských družstev a společností se soustřeďuje na produkci a prodej obilovin, řepky,</w:t>
      </w:r>
      <w:r w:rsidR="00AC0A02">
        <w:t xml:space="preserve"> kukuřice,</w:t>
      </w:r>
      <w:r>
        <w:t xml:space="preserve"> brambor, porážkových druhů zvířat a produkci mléka</w:t>
      </w:r>
      <w:r w:rsidR="0016025B">
        <w:t xml:space="preserve"> (v menší míře tako ovoce a zeleniny)</w:t>
      </w:r>
      <w:r>
        <w:t>.</w:t>
      </w:r>
      <w:r w:rsidR="0016025B">
        <w:t xml:space="preserve"> </w:t>
      </w:r>
      <w:r w:rsidR="00AC0A02">
        <w:t xml:space="preserve">Část zemědělské produkce je určena pro navazující živočišnou výrobu. </w:t>
      </w:r>
      <w:r>
        <w:t xml:space="preserve">Prodej konečných produktů spotřebitelům se omezuje zejména na prodej mléka, ovoce a zeleniny. </w:t>
      </w:r>
      <w:r w:rsidR="0016025B">
        <w:t>Zpracování a prodej masných výrobků velkými podniky je ojedinělé.</w:t>
      </w:r>
      <w:r w:rsidR="00AC0A02">
        <w:t xml:space="preserve"> </w:t>
      </w:r>
    </w:p>
    <w:p w:rsidR="0016025B" w:rsidRDefault="0016025B" w:rsidP="00555192">
      <w:r>
        <w:t>Menší zemědělské subjekty a podnikatelé se ve větší míře pokoušejí o přímý prodej koncovým spotřebitelům. Zejména jde o prodej mléka, masa, brambor, ovoce a zeleniny. Z komunikace se zemědělskými podnikateli vyplývá velký zájem o podporu zpracování prvovýrobních produktů do podoby konečných produktů včetně následné distribuce, prodeje a propagace (viz níže).</w:t>
      </w:r>
    </w:p>
    <w:p w:rsidR="00182D8B" w:rsidRDefault="00182D8B" w:rsidP="00182D8B">
      <w:pPr>
        <w:ind w:left="284"/>
      </w:pPr>
      <w:r>
        <w:t>Záměry soukromých zemědělských podnikatelů (důležitost udána pořadím):</w:t>
      </w:r>
    </w:p>
    <w:p w:rsidR="00182D8B" w:rsidRDefault="00182D8B" w:rsidP="00182D8B">
      <w:pPr>
        <w:ind w:left="567"/>
      </w:pPr>
      <w:r>
        <w:t>1. Podpora uskladnění a vybavení skladu vlastní produkce.</w:t>
      </w:r>
    </w:p>
    <w:p w:rsidR="00182D8B" w:rsidRDefault="00182D8B" w:rsidP="00182D8B">
      <w:pPr>
        <w:ind w:left="567"/>
      </w:pPr>
      <w:r>
        <w:t>2. Podpora zpracování a prodeje vlastní produkce.</w:t>
      </w:r>
    </w:p>
    <w:p w:rsidR="00182D8B" w:rsidRDefault="00182D8B" w:rsidP="00182D8B">
      <w:pPr>
        <w:ind w:left="567"/>
      </w:pPr>
      <w:r>
        <w:t>3. Podpora zřizování krajinných prvků (stromy, rybníčky...)</w:t>
      </w:r>
    </w:p>
    <w:p w:rsidR="00182D8B" w:rsidRDefault="00182D8B" w:rsidP="00182D8B">
      <w:pPr>
        <w:ind w:left="567"/>
      </w:pPr>
      <w:r>
        <w:t>4. Zpevněné plochy (manipulační, cesty)</w:t>
      </w:r>
    </w:p>
    <w:p w:rsidR="00182D8B" w:rsidRDefault="00182D8B" w:rsidP="00182D8B">
      <w:pPr>
        <w:ind w:left="567"/>
      </w:pPr>
      <w:r>
        <w:t>5. Podpora hospodaření v lesích.</w:t>
      </w:r>
    </w:p>
    <w:p w:rsidR="007A4E5D" w:rsidRPr="00257306" w:rsidRDefault="00182D8B" w:rsidP="00555192">
      <w:r>
        <w:t>Ve významné míře se projevuje zájem o diverzifikaci činnosti malých soukromých zemědělců i do jiných oborů, což by pomohlo kompenzovat zemědělská rizika a také vyrovnat nárazovost zemědělských činností (např. rozdíly typu žně x zimní období). Diverzifikace probíhá například směrem ke stavební výrobě nebo agroturistice, která může těžit z turistické atraktivity regionu.</w:t>
      </w:r>
      <w:r w:rsidR="00C60035">
        <w:t xml:space="preserve"> Agroturistika také nabízí možnost prodeje zpracované zemědělské produkce spotřebitelům, a to zejména v souvisejících stravovacích zařízeních.</w:t>
      </w:r>
    </w:p>
    <w:p w:rsidR="004E461D" w:rsidRDefault="004E461D" w:rsidP="002A6C67">
      <w:pPr>
        <w:pStyle w:val="Nadpis4"/>
      </w:pPr>
      <w:r>
        <w:lastRenderedPageBreak/>
        <w:t>Potravinářství</w:t>
      </w:r>
    </w:p>
    <w:p w:rsidR="004E461D" w:rsidRDefault="0016025B" w:rsidP="004E461D">
      <w:r>
        <w:t xml:space="preserve">Problematika potravinářství je zpracovávána v rámci zemědělské problematiky, protože v mnoha oborech se zemědělskou produkcí </w:t>
      </w:r>
      <w:r w:rsidR="000F3656">
        <w:t>kryje</w:t>
      </w:r>
      <w:r w:rsidR="00182D8B">
        <w:t xml:space="preserve"> (ovoce, zelenina...)</w:t>
      </w:r>
      <w:r w:rsidR="000F3656">
        <w:t xml:space="preserve"> a v ostatních na zemědělskou produkci přímo navazuje.</w:t>
      </w:r>
    </w:p>
    <w:p w:rsidR="00182D8B" w:rsidRDefault="00182D8B" w:rsidP="004E461D">
      <w:r>
        <w:t>Jen málo velkých subjektů v regionu svou produkci přímo zpracovává. Jde zejména o zpracování masné produkce a výroba a prodej uzenin</w:t>
      </w:r>
      <w:r w:rsidR="00C60035">
        <w:t xml:space="preserve"> (početně v jednotkách subjektů). </w:t>
      </w:r>
    </w:p>
    <w:p w:rsidR="00C60035" w:rsidRDefault="00C60035" w:rsidP="004E461D">
      <w:r>
        <w:t xml:space="preserve">Větší zpracovatelé zemědělských produktů v regionu rovněž působí minimálně. </w:t>
      </w:r>
      <w:r w:rsidR="00AC0A02">
        <w:t>Omezují se na produkci mouky, pečiva, zelných produktů.</w:t>
      </w:r>
    </w:p>
    <w:p w:rsidR="00182D8B" w:rsidRDefault="00182D8B" w:rsidP="004E461D">
      <w:r>
        <w:t xml:space="preserve">Na zemědělskou </w:t>
      </w:r>
      <w:r w:rsidR="004B0669">
        <w:t>produkci v regionu navazují další zpracovatelské subjekty</w:t>
      </w:r>
      <w:r w:rsidR="00C60035">
        <w:t>, které ale zdaleka nedosahují kapacity zpracování zemědělské produkce regionu a většina produktů zemědělské prvovýroby je zpracovávána mimo region.</w:t>
      </w:r>
    </w:p>
    <w:p w:rsidR="00C60035" w:rsidRDefault="00C60035" w:rsidP="004E461D">
      <w:r>
        <w:t>V regionu je dále rozšířeno zpracování zemědělských produktů malými podnikateli s odpovídající kapacitou. V jednotkách podnikatelů v regionu tak působí zejména řezníci a uzenáři, pekařství a cukrářství. Okrajově také lze do této oblasti zařadit také pěstitelské pálenice, které kromě alkoholických nápojů produkují například také nealkoholické ovocné nápoje.</w:t>
      </w:r>
    </w:p>
    <w:p w:rsidR="000F3656" w:rsidRPr="004E461D" w:rsidRDefault="00AC0A02" w:rsidP="004E461D">
      <w:r>
        <w:t>Oblast zemědělství je tak závislá na prodeji prvovýrobních produktů a obyvatelé regionu jsou závislí na produkci potravin mimo region.</w:t>
      </w:r>
    </w:p>
    <w:p w:rsidR="002A6C67" w:rsidRDefault="002A6C67" w:rsidP="002A6C67">
      <w:pPr>
        <w:pStyle w:val="Nadpis4"/>
      </w:pPr>
      <w:r>
        <w:t>Lesnictví</w:t>
      </w:r>
    </w:p>
    <w:p w:rsidR="002A6C67" w:rsidRDefault="002A6C67" w:rsidP="002A6C67">
      <w:r>
        <w:t>V rámci části strategie věnované zemědělství je rozebrána také problematika lesnictví, protože zájmová skupina zemědělských subjektů v regionu se rovněž věnuje hospodaření ve vlastních lesích. Kromě nich jsou</w:t>
      </w:r>
      <w:r w:rsidR="002E33C1">
        <w:t xml:space="preserve"> z pohledu počtu</w:t>
      </w:r>
      <w:r>
        <w:t xml:space="preserve"> význam</w:t>
      </w:r>
      <w:r w:rsidR="002E33C1">
        <w:t xml:space="preserve">nými vlastníky lesních pozemků </w:t>
      </w:r>
      <w:r>
        <w:t>fyzické osoby nepodnikající v zemědělství</w:t>
      </w:r>
      <w:r w:rsidR="002E33C1">
        <w:t xml:space="preserve"> hospodařící na malých plochách lesů</w:t>
      </w:r>
      <w:r>
        <w:t>.</w:t>
      </w:r>
      <w:r w:rsidR="002E33C1">
        <w:t xml:space="preserve"> Bohužel takto obhospodařovávané lesy nejsou často v dobrém stavu.</w:t>
      </w:r>
    </w:p>
    <w:p w:rsidR="0049573A" w:rsidRDefault="0049573A" w:rsidP="002A6C67">
      <w:r>
        <w:t>Významným argumentem pro sloučení obou problematik je nezbytné dosažení souladu zemědělských a lesnických prvků v krajině, jejich prolínání, harmonie a prostupování lesních prvků do zemědělské půdy a naopak.</w:t>
      </w:r>
    </w:p>
    <w:p w:rsidR="00934223" w:rsidRDefault="00CF7DAE" w:rsidP="00555192">
      <w:r>
        <w:lastRenderedPageBreak/>
        <w:t xml:space="preserve">Podíl </w:t>
      </w:r>
      <w:r w:rsidR="00934223">
        <w:t>l</w:t>
      </w:r>
      <w:r w:rsidR="00142C2A">
        <w:t>esů na celé rozloze území MAS činí</w:t>
      </w:r>
      <w:r w:rsidR="00934223">
        <w:t xml:space="preserve"> 18,9 </w:t>
      </w:r>
      <w:r>
        <w:t>%</w:t>
      </w:r>
      <w:r w:rsidR="00142C2A">
        <w:t xml:space="preserve"> rozlohy</w:t>
      </w:r>
      <w:r>
        <w:t>. Republikový průměr přitom činí 33,8 % lesů a všechny krajské podíly lesů na daných územích jsou podstatně vyšší. Může za to především výše zmíněný podíl zemědělsky obdělávané půdy.</w:t>
      </w:r>
    </w:p>
    <w:tbl>
      <w:tblPr>
        <w:tblW w:w="9280" w:type="dxa"/>
        <w:tblInd w:w="70" w:type="dxa"/>
        <w:tblCellMar>
          <w:left w:w="70" w:type="dxa"/>
          <w:right w:w="70" w:type="dxa"/>
        </w:tblCellMar>
        <w:tblLook w:val="04A0"/>
      </w:tblPr>
      <w:tblGrid>
        <w:gridCol w:w="2100"/>
        <w:gridCol w:w="960"/>
        <w:gridCol w:w="960"/>
        <w:gridCol w:w="960"/>
        <w:gridCol w:w="960"/>
        <w:gridCol w:w="960"/>
        <w:gridCol w:w="960"/>
        <w:gridCol w:w="1420"/>
      </w:tblGrid>
      <w:tr w:rsidR="0053411C" w:rsidRPr="0053411C" w:rsidTr="00FB558C">
        <w:trPr>
          <w:trHeight w:val="300"/>
        </w:trPr>
        <w:tc>
          <w:tcPr>
            <w:tcW w:w="2100" w:type="dxa"/>
            <w:vMerge w:val="restart"/>
            <w:tcBorders>
              <w:top w:val="nil"/>
              <w:left w:val="nil"/>
              <w:bottom w:val="single" w:sz="4" w:space="0" w:color="000000"/>
              <w:right w:val="nil"/>
            </w:tcBorders>
            <w:shd w:val="clear" w:color="000000" w:fill="17375D"/>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Obec název</w:t>
            </w:r>
          </w:p>
        </w:tc>
        <w:tc>
          <w:tcPr>
            <w:tcW w:w="960" w:type="dxa"/>
            <w:vMerge w:val="restart"/>
            <w:tcBorders>
              <w:top w:val="nil"/>
              <w:left w:val="nil"/>
              <w:bottom w:val="single" w:sz="4" w:space="0" w:color="000000"/>
              <w:right w:val="nil"/>
            </w:tcBorders>
            <w:shd w:val="clear" w:color="000000" w:fill="538ED5"/>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Celková výměra (ha)</w:t>
            </w:r>
          </w:p>
        </w:tc>
        <w:tc>
          <w:tcPr>
            <w:tcW w:w="960" w:type="dxa"/>
            <w:vMerge w:val="restart"/>
            <w:tcBorders>
              <w:top w:val="nil"/>
              <w:left w:val="nil"/>
              <w:bottom w:val="single" w:sz="4" w:space="0" w:color="000000"/>
              <w:right w:val="nil"/>
            </w:tcBorders>
            <w:shd w:val="clear" w:color="000000" w:fill="538ED5"/>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Podíl na území MAS</w:t>
            </w:r>
          </w:p>
        </w:tc>
        <w:tc>
          <w:tcPr>
            <w:tcW w:w="96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r w:rsidRPr="0053411C">
              <w:rPr>
                <w:rFonts w:ascii="Calibri" w:hAnsi="Calibri" w:cs="Calibri"/>
                <w:color w:val="000000"/>
                <w:szCs w:val="22"/>
                <w:lang w:eastAsia="cs-CZ"/>
              </w:rPr>
              <w:t> </w:t>
            </w:r>
          </w:p>
        </w:tc>
        <w:tc>
          <w:tcPr>
            <w:tcW w:w="96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r w:rsidRPr="0053411C">
              <w:rPr>
                <w:rFonts w:ascii="Calibri" w:hAnsi="Calibri" w:cs="Calibri"/>
                <w:color w:val="000000"/>
                <w:szCs w:val="22"/>
                <w:lang w:eastAsia="cs-CZ"/>
              </w:rPr>
              <w:t> </w:t>
            </w:r>
          </w:p>
        </w:tc>
        <w:tc>
          <w:tcPr>
            <w:tcW w:w="96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r w:rsidRPr="0053411C">
              <w:rPr>
                <w:rFonts w:ascii="Calibri" w:hAnsi="Calibri" w:cs="Calibri"/>
                <w:color w:val="000000"/>
                <w:szCs w:val="22"/>
                <w:lang w:eastAsia="cs-CZ"/>
              </w:rPr>
              <w:t> </w:t>
            </w:r>
          </w:p>
        </w:tc>
        <w:tc>
          <w:tcPr>
            <w:tcW w:w="96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r w:rsidRPr="0053411C">
              <w:rPr>
                <w:rFonts w:ascii="Calibri" w:hAnsi="Calibri" w:cs="Calibri"/>
                <w:color w:val="000000"/>
                <w:szCs w:val="22"/>
                <w:lang w:eastAsia="cs-CZ"/>
              </w:rPr>
              <w:t> </w:t>
            </w:r>
          </w:p>
        </w:tc>
        <w:tc>
          <w:tcPr>
            <w:tcW w:w="1420" w:type="dxa"/>
            <w:vMerge w:val="restart"/>
            <w:tcBorders>
              <w:top w:val="nil"/>
              <w:left w:val="nil"/>
              <w:bottom w:val="single" w:sz="4" w:space="0" w:color="000000"/>
              <w:right w:val="nil"/>
            </w:tcBorders>
            <w:shd w:val="clear" w:color="000000" w:fill="215867"/>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Nezemědělská půda celkem</w:t>
            </w:r>
          </w:p>
        </w:tc>
      </w:tr>
      <w:tr w:rsidR="0053411C" w:rsidRPr="0053411C" w:rsidTr="00FB558C">
        <w:trPr>
          <w:trHeight w:val="900"/>
        </w:trPr>
        <w:tc>
          <w:tcPr>
            <w:tcW w:w="2100" w:type="dxa"/>
            <w:vMerge/>
            <w:tcBorders>
              <w:top w:val="nil"/>
              <w:left w:val="nil"/>
              <w:bottom w:val="single" w:sz="4" w:space="0" w:color="000000"/>
              <w:right w:val="nil"/>
            </w:tcBorders>
            <w:vAlign w:val="center"/>
            <w:hideMark/>
          </w:tcPr>
          <w:p w:rsidR="0053411C" w:rsidRPr="0053411C" w:rsidRDefault="0053411C" w:rsidP="0053411C">
            <w:pPr>
              <w:suppressAutoHyphens w:val="0"/>
              <w:spacing w:after="0"/>
              <w:jc w:val="left"/>
              <w:rPr>
                <w:rFonts w:ascii="Arial" w:hAnsi="Arial" w:cs="Arial"/>
                <w:b/>
                <w:bCs/>
                <w:color w:val="FFFFFF"/>
                <w:sz w:val="16"/>
                <w:szCs w:val="16"/>
                <w:lang w:eastAsia="cs-CZ"/>
              </w:rPr>
            </w:pPr>
          </w:p>
        </w:tc>
        <w:tc>
          <w:tcPr>
            <w:tcW w:w="960" w:type="dxa"/>
            <w:vMerge/>
            <w:tcBorders>
              <w:top w:val="nil"/>
              <w:left w:val="nil"/>
              <w:bottom w:val="single" w:sz="4" w:space="0" w:color="000000"/>
              <w:right w:val="nil"/>
            </w:tcBorders>
            <w:vAlign w:val="center"/>
            <w:hideMark/>
          </w:tcPr>
          <w:p w:rsidR="0053411C" w:rsidRPr="0053411C" w:rsidRDefault="0053411C" w:rsidP="0053411C">
            <w:pPr>
              <w:suppressAutoHyphens w:val="0"/>
              <w:spacing w:after="0"/>
              <w:jc w:val="left"/>
              <w:rPr>
                <w:rFonts w:ascii="Arial" w:hAnsi="Arial" w:cs="Arial"/>
                <w:b/>
                <w:bCs/>
                <w:color w:val="FFFFFF"/>
                <w:sz w:val="16"/>
                <w:szCs w:val="16"/>
                <w:lang w:eastAsia="cs-CZ"/>
              </w:rPr>
            </w:pPr>
          </w:p>
        </w:tc>
        <w:tc>
          <w:tcPr>
            <w:tcW w:w="960" w:type="dxa"/>
            <w:vMerge/>
            <w:tcBorders>
              <w:top w:val="nil"/>
              <w:left w:val="nil"/>
              <w:bottom w:val="single" w:sz="4" w:space="0" w:color="000000"/>
              <w:right w:val="nil"/>
            </w:tcBorders>
            <w:vAlign w:val="center"/>
            <w:hideMark/>
          </w:tcPr>
          <w:p w:rsidR="0053411C" w:rsidRPr="0053411C" w:rsidRDefault="0053411C" w:rsidP="0053411C">
            <w:pPr>
              <w:suppressAutoHyphens w:val="0"/>
              <w:spacing w:after="0"/>
              <w:jc w:val="left"/>
              <w:rPr>
                <w:rFonts w:ascii="Arial" w:hAnsi="Arial" w:cs="Arial"/>
                <w:b/>
                <w:bCs/>
                <w:color w:val="FFFFFF"/>
                <w:sz w:val="16"/>
                <w:szCs w:val="16"/>
                <w:lang w:eastAsia="cs-CZ"/>
              </w:rPr>
            </w:pPr>
          </w:p>
        </w:tc>
        <w:tc>
          <w:tcPr>
            <w:tcW w:w="960" w:type="dxa"/>
            <w:tcBorders>
              <w:top w:val="single" w:sz="4" w:space="0" w:color="auto"/>
              <w:left w:val="single" w:sz="4" w:space="0" w:color="auto"/>
              <w:bottom w:val="single" w:sz="4" w:space="0" w:color="auto"/>
              <w:right w:val="single" w:sz="4" w:space="0" w:color="auto"/>
            </w:tcBorders>
            <w:shd w:val="clear" w:color="000000" w:fill="31849B"/>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Lesní pozemky</w:t>
            </w:r>
          </w:p>
        </w:tc>
        <w:tc>
          <w:tcPr>
            <w:tcW w:w="960" w:type="dxa"/>
            <w:tcBorders>
              <w:top w:val="single" w:sz="4" w:space="0" w:color="auto"/>
              <w:left w:val="nil"/>
              <w:bottom w:val="single" w:sz="4" w:space="0" w:color="auto"/>
              <w:right w:val="single" w:sz="4" w:space="0" w:color="auto"/>
            </w:tcBorders>
            <w:shd w:val="clear" w:color="000000" w:fill="31849B"/>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 xml:space="preserve">Vodní plochy </w:t>
            </w:r>
          </w:p>
        </w:tc>
        <w:tc>
          <w:tcPr>
            <w:tcW w:w="960" w:type="dxa"/>
            <w:tcBorders>
              <w:top w:val="single" w:sz="4" w:space="0" w:color="auto"/>
              <w:left w:val="nil"/>
              <w:bottom w:val="single" w:sz="4" w:space="0" w:color="auto"/>
              <w:right w:val="single" w:sz="4" w:space="0" w:color="auto"/>
            </w:tcBorders>
            <w:shd w:val="clear" w:color="000000" w:fill="31849B"/>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 xml:space="preserve">Zastavěné plochy a nádvoří </w:t>
            </w:r>
          </w:p>
        </w:tc>
        <w:tc>
          <w:tcPr>
            <w:tcW w:w="960" w:type="dxa"/>
            <w:tcBorders>
              <w:top w:val="single" w:sz="4" w:space="0" w:color="auto"/>
              <w:left w:val="nil"/>
              <w:bottom w:val="single" w:sz="4" w:space="0" w:color="auto"/>
              <w:right w:val="single" w:sz="4" w:space="0" w:color="auto"/>
            </w:tcBorders>
            <w:shd w:val="clear" w:color="000000" w:fill="31849B"/>
            <w:vAlign w:val="center"/>
            <w:hideMark/>
          </w:tcPr>
          <w:p w:rsidR="0053411C" w:rsidRPr="0053411C" w:rsidRDefault="0053411C" w:rsidP="0053411C">
            <w:pPr>
              <w:suppressAutoHyphens w:val="0"/>
              <w:spacing w:after="0"/>
              <w:jc w:val="center"/>
              <w:rPr>
                <w:rFonts w:ascii="Arial" w:hAnsi="Arial" w:cs="Arial"/>
                <w:b/>
                <w:bCs/>
                <w:color w:val="FFFFFF"/>
                <w:sz w:val="16"/>
                <w:szCs w:val="16"/>
                <w:lang w:eastAsia="cs-CZ"/>
              </w:rPr>
            </w:pPr>
            <w:r w:rsidRPr="0053411C">
              <w:rPr>
                <w:rFonts w:ascii="Arial" w:hAnsi="Arial" w:cs="Arial"/>
                <w:b/>
                <w:bCs/>
                <w:color w:val="FFFFFF"/>
                <w:sz w:val="16"/>
                <w:szCs w:val="16"/>
                <w:lang w:eastAsia="cs-CZ"/>
              </w:rPr>
              <w:t>Ostatní plochy</w:t>
            </w:r>
          </w:p>
        </w:tc>
        <w:tc>
          <w:tcPr>
            <w:tcW w:w="1420" w:type="dxa"/>
            <w:vMerge/>
            <w:tcBorders>
              <w:top w:val="nil"/>
              <w:left w:val="nil"/>
              <w:bottom w:val="single" w:sz="4" w:space="0" w:color="000000"/>
              <w:right w:val="nil"/>
            </w:tcBorders>
            <w:vAlign w:val="center"/>
            <w:hideMark/>
          </w:tcPr>
          <w:p w:rsidR="0053411C" w:rsidRPr="0053411C" w:rsidRDefault="0053411C" w:rsidP="0053411C">
            <w:pPr>
              <w:suppressAutoHyphens w:val="0"/>
              <w:spacing w:after="0"/>
              <w:jc w:val="left"/>
              <w:rPr>
                <w:rFonts w:ascii="Arial" w:hAnsi="Arial" w:cs="Arial"/>
                <w:b/>
                <w:bCs/>
                <w:color w:val="FFFFFF"/>
                <w:sz w:val="16"/>
                <w:szCs w:val="16"/>
                <w:lang w:eastAsia="cs-CZ"/>
              </w:rPr>
            </w:pP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Benátky</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478,5</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12,3%</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Bohuňovice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423,1</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Bor u Skutče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435,3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55,9%</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Bučina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382,6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5,3%</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15,8%</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Budislav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805,7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43,1%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8,1%</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53,8%</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Cerekvice nad Loučnou</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829,1</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8,8%</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13,6%</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České Heřmanice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997,1</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18,7%</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Čistá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2520,5</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5,7%</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36,9%</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Desná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477,7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5,9%</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13,2%</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Dolní Újezd</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1970,6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15,0%</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Hluboká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733,8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42,9%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48,5%</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Horky</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267,3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20,1%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Horní Újezd</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773,9</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14,5%</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Hrušová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608,0</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6,7%</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14,3%</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Chmelík</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953,9</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31,8%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37,1%</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Chotěnov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399,6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14,8%</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Chotovice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320,2</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11,6%</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Janov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2467,7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50,7%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Jarošov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512,8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32,1%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38,5%</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Javorník</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548,3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18,9%</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Leština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1073,4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5,0%</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23,6%</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Libecina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481,7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23,1%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Litomyšl</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3344,9</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27,9%</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Lubná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1984,8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4,0%</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55,8%</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Makov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689,8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18,0%</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Morašice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1242,7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14,2%</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Němčice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1316,7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34,3%</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Nová Sídla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294,9</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6,3%</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Nová Ves u Jarošova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238,3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16,9%</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Nové Hrady</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672,5</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6,7%</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34,2%</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Osík</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1261,7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12,0%</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Ostrov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417,8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11,3%</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Otradov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554,2</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8,0%</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25,6%</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Perálec</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456,5</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Poříčí u Litomyšle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650,6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18,0%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25,0%</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lastRenderedPageBreak/>
              <w:t>Proseč</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3403,1</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43,1%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5,1%</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49,8%</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Příluka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381,4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9,1%</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Pustina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283,4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 </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3,7%</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Řídký</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141,4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19,4%</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Sebranice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1168,8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8,1%</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20,7%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Sedliště</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369,3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13,1%</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Sloupnice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2791,2</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34,7%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Strakov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852,8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59,8%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2,9%</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63,7%</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Suchá Lhota</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218,6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4,4%</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19,2%</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Tisová</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1096,6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17,8%</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Trstěnice</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2147,4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43,8%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4,0%</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48,6%</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Tržek</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171,0</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 </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10,3%</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20,6%</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Újezdec</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345,6</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0,7%</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3,6%</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Vidlatá Seč</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610,3</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11,6%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17,9%</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Vlčkov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283,4</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36,8%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3,2%</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41,1%</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Vračovice-Orlov</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291,5</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20,9%</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Vysoké Mýto</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4202,7</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8,1%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13,6%</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9,7%</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27,7%</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Zádolí</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426,0</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38,3%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0,8%</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2,5%</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41,6%</w:t>
            </w:r>
          </w:p>
        </w:tc>
      </w:tr>
      <w:tr w:rsidR="0053411C" w:rsidRPr="0053411C" w:rsidTr="00FB558C">
        <w:trPr>
          <w:trHeight w:val="300"/>
        </w:trPr>
        <w:tc>
          <w:tcPr>
            <w:tcW w:w="2100" w:type="dxa"/>
            <w:tcBorders>
              <w:top w:val="nil"/>
              <w:left w:val="nil"/>
              <w:bottom w:val="nil"/>
              <w:right w:val="nil"/>
            </w:tcBorders>
            <w:shd w:val="clear" w:color="000000" w:fill="8DB4E3"/>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Zálší</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772,8</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17,4%</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9,5%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4,0%</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31,9%</w:t>
            </w:r>
          </w:p>
        </w:tc>
      </w:tr>
      <w:tr w:rsidR="0053411C" w:rsidRPr="0053411C" w:rsidTr="00FB558C">
        <w:trPr>
          <w:trHeight w:val="300"/>
        </w:trPr>
        <w:tc>
          <w:tcPr>
            <w:tcW w:w="2100" w:type="dxa"/>
            <w:tcBorders>
              <w:top w:val="nil"/>
              <w:left w:val="nil"/>
              <w:bottom w:val="nil"/>
              <w:right w:val="nil"/>
            </w:tcBorders>
            <w:shd w:val="clear" w:color="000000" w:fill="DBE5F1"/>
            <w:noWrap/>
            <w:vAlign w:val="center"/>
            <w:hideMark/>
          </w:tcPr>
          <w:p w:rsidR="0053411C" w:rsidRPr="0053411C" w:rsidRDefault="0053411C" w:rsidP="0053411C">
            <w:pPr>
              <w:suppressAutoHyphens w:val="0"/>
              <w:spacing w:after="0"/>
              <w:jc w:val="left"/>
              <w:rPr>
                <w:rFonts w:ascii="Arial" w:hAnsi="Arial" w:cs="Arial"/>
                <w:sz w:val="18"/>
                <w:szCs w:val="18"/>
                <w:lang w:eastAsia="cs-CZ"/>
              </w:rPr>
            </w:pPr>
            <w:r w:rsidRPr="0053411C">
              <w:rPr>
                <w:rFonts w:ascii="Arial" w:hAnsi="Arial" w:cs="Arial"/>
                <w:sz w:val="18"/>
                <w:szCs w:val="18"/>
                <w:lang w:eastAsia="cs-CZ"/>
              </w:rPr>
              <w:t>Zderaz</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661,1</w:t>
            </w:r>
          </w:p>
        </w:tc>
        <w:tc>
          <w:tcPr>
            <w:tcW w:w="960" w:type="dxa"/>
            <w:tcBorders>
              <w:top w:val="nil"/>
              <w:left w:val="nil"/>
              <w:bottom w:val="nil"/>
              <w:right w:val="nil"/>
            </w:tcBorders>
            <w:shd w:val="clear" w:color="000000" w:fill="B8CCE4"/>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1,3%</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48,1%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0,5%</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6,3%</w:t>
            </w:r>
          </w:p>
        </w:tc>
        <w:tc>
          <w:tcPr>
            <w:tcW w:w="1420" w:type="dxa"/>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55,9%</w:t>
            </w:r>
          </w:p>
        </w:tc>
      </w:tr>
      <w:tr w:rsidR="0053411C" w:rsidRPr="0053411C" w:rsidTr="00FB558C">
        <w:trPr>
          <w:trHeight w:val="300"/>
        </w:trPr>
        <w:tc>
          <w:tcPr>
            <w:tcW w:w="2100" w:type="dxa"/>
            <w:tcBorders>
              <w:top w:val="nil"/>
              <w:left w:val="nil"/>
              <w:bottom w:val="nil"/>
              <w:right w:val="nil"/>
            </w:tcBorders>
            <w:shd w:val="clear" w:color="auto" w:fill="auto"/>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p>
        </w:tc>
        <w:tc>
          <w:tcPr>
            <w:tcW w:w="1920" w:type="dxa"/>
            <w:gridSpan w:val="2"/>
            <w:tcBorders>
              <w:top w:val="nil"/>
              <w:left w:val="nil"/>
              <w:bottom w:val="nil"/>
              <w:right w:val="nil"/>
            </w:tcBorders>
            <w:shd w:val="clear" w:color="000000" w:fill="17375D"/>
            <w:noWrap/>
            <w:vAlign w:val="bottom"/>
            <w:hideMark/>
          </w:tcPr>
          <w:p w:rsidR="0053411C" w:rsidRPr="0053411C" w:rsidRDefault="0053411C" w:rsidP="0053411C">
            <w:pPr>
              <w:suppressAutoHyphens w:val="0"/>
              <w:spacing w:after="0"/>
              <w:jc w:val="center"/>
              <w:rPr>
                <w:rFonts w:ascii="Calibri" w:hAnsi="Calibri" w:cs="Calibri"/>
                <w:b/>
                <w:bCs/>
                <w:color w:val="FFFFFF"/>
                <w:szCs w:val="22"/>
                <w:lang w:eastAsia="cs-CZ"/>
              </w:rPr>
            </w:pPr>
            <w:r w:rsidRPr="0053411C">
              <w:rPr>
                <w:rFonts w:ascii="Calibri" w:hAnsi="Calibri" w:cs="Calibri"/>
                <w:b/>
                <w:bCs/>
                <w:color w:val="FFFFFF"/>
                <w:szCs w:val="22"/>
                <w:lang w:eastAsia="cs-CZ"/>
              </w:rPr>
              <w:t>Celkem</w:t>
            </w:r>
          </w:p>
        </w:tc>
        <w:tc>
          <w:tcPr>
            <w:tcW w:w="5260" w:type="dxa"/>
            <w:gridSpan w:val="5"/>
            <w:tcBorders>
              <w:top w:val="nil"/>
              <w:left w:val="nil"/>
              <w:bottom w:val="nil"/>
              <w:right w:val="nil"/>
            </w:tcBorders>
            <w:shd w:val="clear" w:color="000000" w:fill="215867"/>
            <w:noWrap/>
            <w:vAlign w:val="bottom"/>
            <w:hideMark/>
          </w:tcPr>
          <w:p w:rsidR="0053411C" w:rsidRPr="0053411C" w:rsidRDefault="0053411C" w:rsidP="0053411C">
            <w:pPr>
              <w:suppressAutoHyphens w:val="0"/>
              <w:spacing w:after="0"/>
              <w:jc w:val="center"/>
              <w:rPr>
                <w:rFonts w:ascii="Calibri" w:hAnsi="Calibri" w:cs="Calibri"/>
                <w:b/>
                <w:bCs/>
                <w:color w:val="FFFFFF"/>
                <w:szCs w:val="22"/>
                <w:lang w:eastAsia="cs-CZ"/>
              </w:rPr>
            </w:pPr>
            <w:r w:rsidRPr="0053411C">
              <w:rPr>
                <w:rFonts w:ascii="Calibri" w:hAnsi="Calibri" w:cs="Calibri"/>
                <w:b/>
                <w:bCs/>
                <w:color w:val="FFFFFF"/>
                <w:szCs w:val="22"/>
                <w:lang w:eastAsia="cs-CZ"/>
              </w:rPr>
              <w:t>Průměrně</w:t>
            </w:r>
          </w:p>
        </w:tc>
      </w:tr>
      <w:tr w:rsidR="0053411C" w:rsidRPr="0053411C" w:rsidTr="00FB558C">
        <w:trPr>
          <w:trHeight w:val="300"/>
        </w:trPr>
        <w:tc>
          <w:tcPr>
            <w:tcW w:w="2100" w:type="dxa"/>
            <w:tcBorders>
              <w:top w:val="nil"/>
              <w:left w:val="nil"/>
              <w:bottom w:val="nil"/>
              <w:right w:val="nil"/>
            </w:tcBorders>
            <w:shd w:val="clear" w:color="auto" w:fill="auto"/>
            <w:noWrap/>
            <w:vAlign w:val="bottom"/>
            <w:hideMark/>
          </w:tcPr>
          <w:p w:rsidR="0053411C" w:rsidRPr="0053411C" w:rsidRDefault="0053411C" w:rsidP="0053411C">
            <w:pPr>
              <w:suppressAutoHyphens w:val="0"/>
              <w:spacing w:after="0"/>
              <w:jc w:val="left"/>
              <w:rPr>
                <w:rFonts w:ascii="Calibri" w:hAnsi="Calibri" w:cs="Calibri"/>
                <w:color w:val="000000"/>
                <w:szCs w:val="22"/>
                <w:lang w:eastAsia="cs-CZ"/>
              </w:rPr>
            </w:pPr>
          </w:p>
        </w:tc>
        <w:tc>
          <w:tcPr>
            <w:tcW w:w="960" w:type="dxa"/>
            <w:tcBorders>
              <w:top w:val="nil"/>
              <w:left w:val="nil"/>
              <w:bottom w:val="nil"/>
              <w:right w:val="nil"/>
            </w:tcBorders>
            <w:shd w:val="clear" w:color="000000" w:fill="DBE5F1"/>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52204,5</w:t>
            </w:r>
          </w:p>
        </w:tc>
        <w:tc>
          <w:tcPr>
            <w:tcW w:w="960" w:type="dxa"/>
            <w:tcBorders>
              <w:top w:val="nil"/>
              <w:left w:val="nil"/>
              <w:bottom w:val="nil"/>
              <w:right w:val="nil"/>
            </w:tcBorders>
            <w:shd w:val="clear" w:color="000000" w:fill="DBE5F1"/>
            <w:noWrap/>
            <w:vAlign w:val="bottom"/>
            <w:hideMark/>
          </w:tcPr>
          <w:p w:rsidR="0053411C" w:rsidRPr="0053411C" w:rsidRDefault="0053411C" w:rsidP="0053411C">
            <w:pPr>
              <w:suppressAutoHyphens w:val="0"/>
              <w:spacing w:after="0"/>
              <w:jc w:val="right"/>
              <w:rPr>
                <w:rFonts w:ascii="Arial" w:hAnsi="Arial" w:cs="Arial"/>
                <w:color w:val="000000"/>
                <w:sz w:val="18"/>
                <w:szCs w:val="18"/>
                <w:lang w:eastAsia="cs-CZ"/>
              </w:rPr>
            </w:pPr>
            <w:r w:rsidRPr="0053411C">
              <w:rPr>
                <w:rFonts w:ascii="Arial" w:hAnsi="Arial" w:cs="Arial"/>
                <w:color w:val="000000"/>
                <w:sz w:val="18"/>
                <w:szCs w:val="18"/>
                <w:lang w:eastAsia="cs-CZ"/>
              </w:rPr>
              <w:t>100,0%</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18,9%</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1,1%</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1,2%</w:t>
            </w:r>
          </w:p>
        </w:tc>
        <w:tc>
          <w:tcPr>
            <w:tcW w:w="96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5,6%</w:t>
            </w:r>
          </w:p>
        </w:tc>
        <w:tc>
          <w:tcPr>
            <w:tcW w:w="1420" w:type="dxa"/>
            <w:tcBorders>
              <w:top w:val="nil"/>
              <w:left w:val="nil"/>
              <w:bottom w:val="nil"/>
              <w:right w:val="nil"/>
            </w:tcBorders>
            <w:shd w:val="clear" w:color="000000" w:fill="DBEEF3"/>
            <w:noWrap/>
            <w:vAlign w:val="bottom"/>
            <w:hideMark/>
          </w:tcPr>
          <w:p w:rsidR="0053411C" w:rsidRPr="0053411C" w:rsidRDefault="0053411C" w:rsidP="0053411C">
            <w:pPr>
              <w:suppressAutoHyphens w:val="0"/>
              <w:spacing w:after="0"/>
              <w:jc w:val="right"/>
              <w:rPr>
                <w:rFonts w:ascii="Calibri" w:hAnsi="Calibri" w:cs="Calibri"/>
                <w:color w:val="000000"/>
                <w:szCs w:val="22"/>
                <w:lang w:eastAsia="cs-CZ"/>
              </w:rPr>
            </w:pPr>
            <w:r w:rsidRPr="0053411C">
              <w:rPr>
                <w:rFonts w:ascii="Calibri" w:hAnsi="Calibri" w:cs="Calibri"/>
                <w:color w:val="000000"/>
                <w:szCs w:val="22"/>
                <w:lang w:eastAsia="cs-CZ"/>
              </w:rPr>
              <w:t>26,4%</w:t>
            </w:r>
          </w:p>
        </w:tc>
      </w:tr>
    </w:tbl>
    <w:p w:rsidR="002A6C67" w:rsidRDefault="00E40F57" w:rsidP="00555192">
      <w:r>
        <w:t>L</w:t>
      </w:r>
      <w:r w:rsidR="002A6C67" w:rsidRPr="002A6C67">
        <w:t>esnické aktivity</w:t>
      </w:r>
      <w:r w:rsidR="002A6C67">
        <w:t xml:space="preserve"> </w:t>
      </w:r>
      <w:r w:rsidR="00830595">
        <w:t>představují převážně údržbu a kultivaci lesních porostů, která spočívá v udržování, obnově a výsadbě lesních kultur. Nezbytnou součástí je také řešení problematiky kalamitních stavů způsobených povětrnostními nebo biologickými vlivy.</w:t>
      </w:r>
    </w:p>
    <w:p w:rsidR="00E40F57" w:rsidRDefault="00E40F57" w:rsidP="00E40F57">
      <w:r w:rsidRPr="00E40F57">
        <w:t>Soukromí vlastníci hospodařící na malých plochách lesů využívají většinou jen základní techniku, která jim postačuje k likvidaci odumřelých, poškozených nebo napadaných stromů a opětovnému osázení. Nutno podotknout, že morálka malých vlastníků lesů v udržování a obnově lesních porostů není v regionu nejlepší a stav lesů tak není vždy dobrý (rovněž je obtížná kontrola).</w:t>
      </w:r>
    </w:p>
    <w:p w:rsidR="00E40F57" w:rsidRDefault="00E40F57" w:rsidP="00E40F57">
      <w:r>
        <w:t>Zemědělští podnikatelé, kteří hospodaří na podstatně větších plochách</w:t>
      </w:r>
      <w:r w:rsidR="00DE2E36">
        <w:t>,</w:t>
      </w:r>
      <w:r>
        <w:t xml:space="preserve"> </w:t>
      </w:r>
      <w:r w:rsidR="004E461D">
        <w:t>mají většinou podstatně lepší přístup. Jejich problémem ale je potřeba nákladnější techniky ve srovnání s malými vlastníky, protože údržba velkých ploch lesů by byla se základní technikou časově i fyzicky velice náročná až nereálná.</w:t>
      </w:r>
    </w:p>
    <w:p w:rsidR="00783652" w:rsidRDefault="002862DA" w:rsidP="002862DA">
      <w:pPr>
        <w:pStyle w:val="Nadpis4"/>
      </w:pPr>
      <w:r>
        <w:t>Shrnutí informací o zemědělství, potravinářství a lesnictví</w:t>
      </w:r>
    </w:p>
    <w:tbl>
      <w:tblPr>
        <w:tblStyle w:val="Mkatabulky"/>
        <w:tblW w:w="0" w:type="auto"/>
        <w:tblLook w:val="04A0"/>
      </w:tblPr>
      <w:tblGrid>
        <w:gridCol w:w="4606"/>
        <w:gridCol w:w="4606"/>
      </w:tblGrid>
      <w:tr w:rsidR="002A6C67" w:rsidTr="00F9794C">
        <w:trPr>
          <w:cantSplit/>
        </w:trPr>
        <w:tc>
          <w:tcPr>
            <w:tcW w:w="4606" w:type="dxa"/>
            <w:shd w:val="clear" w:color="auto" w:fill="D6E3BC" w:themeFill="accent3" w:themeFillTint="66"/>
          </w:tcPr>
          <w:p w:rsidR="002A6C67" w:rsidRPr="000F7E1C" w:rsidRDefault="002A6C67" w:rsidP="00F9794C">
            <w:pPr>
              <w:rPr>
                <w:b/>
              </w:rPr>
            </w:pPr>
            <w:r w:rsidRPr="000F7E1C">
              <w:rPr>
                <w:b/>
              </w:rPr>
              <w:t>S „Silné stránky“</w:t>
            </w:r>
          </w:p>
        </w:tc>
        <w:tc>
          <w:tcPr>
            <w:tcW w:w="4606" w:type="dxa"/>
            <w:shd w:val="clear" w:color="auto" w:fill="FBD4B4" w:themeFill="accent6" w:themeFillTint="66"/>
          </w:tcPr>
          <w:p w:rsidR="002A6C67" w:rsidRPr="000F7E1C" w:rsidRDefault="002A6C67" w:rsidP="00F9794C">
            <w:pPr>
              <w:rPr>
                <w:b/>
              </w:rPr>
            </w:pPr>
            <w:r w:rsidRPr="000F7E1C">
              <w:rPr>
                <w:b/>
              </w:rPr>
              <w:t>W „Slabé stránky“</w:t>
            </w:r>
          </w:p>
        </w:tc>
      </w:tr>
      <w:tr w:rsidR="002A6C67" w:rsidTr="00F9794C">
        <w:trPr>
          <w:cantSplit/>
          <w:trHeight w:val="2309"/>
        </w:trPr>
        <w:tc>
          <w:tcPr>
            <w:tcW w:w="4606" w:type="dxa"/>
            <w:shd w:val="clear" w:color="auto" w:fill="EAF1DD" w:themeFill="accent3" w:themeFillTint="33"/>
          </w:tcPr>
          <w:p w:rsidR="002A6C67" w:rsidRDefault="00AE358D" w:rsidP="00A60AC9">
            <w:pPr>
              <w:pStyle w:val="Odstavecseseznamem"/>
              <w:numPr>
                <w:ilvl w:val="0"/>
                <w:numId w:val="7"/>
              </w:numPr>
            </w:pPr>
            <w:r>
              <w:lastRenderedPageBreak/>
              <w:t>Kvalitní pracovní síla ve vedení i produkci.</w:t>
            </w:r>
          </w:p>
          <w:p w:rsidR="002A6C67" w:rsidRDefault="00142C2A" w:rsidP="00A60AC9">
            <w:pPr>
              <w:pStyle w:val="Odstavecseseznamem"/>
              <w:numPr>
                <w:ilvl w:val="0"/>
                <w:numId w:val="7"/>
              </w:numPr>
            </w:pPr>
            <w:r>
              <w:t>Spolupráce zemědělských podniků a obcí.</w:t>
            </w:r>
          </w:p>
        </w:tc>
        <w:tc>
          <w:tcPr>
            <w:tcW w:w="4606" w:type="dxa"/>
            <w:shd w:val="clear" w:color="auto" w:fill="FDE9D9" w:themeFill="accent6" w:themeFillTint="33"/>
          </w:tcPr>
          <w:p w:rsidR="002A6C67" w:rsidRDefault="00643042" w:rsidP="00A60AC9">
            <w:pPr>
              <w:pStyle w:val="Odstavecseseznamem"/>
              <w:numPr>
                <w:ilvl w:val="0"/>
                <w:numId w:val="7"/>
              </w:numPr>
            </w:pPr>
            <w:r>
              <w:t>Zaměření na prvovýrobu s nízkou přidanou hodnotou.</w:t>
            </w:r>
          </w:p>
          <w:p w:rsidR="009E5400" w:rsidRDefault="009E5400" w:rsidP="00A60AC9">
            <w:pPr>
              <w:pStyle w:val="Odstavecseseznamem"/>
              <w:numPr>
                <w:ilvl w:val="0"/>
                <w:numId w:val="7"/>
              </w:numPr>
            </w:pPr>
            <w:r>
              <w:t>Nízká úroveň (kvantitativně) živočišné výroby.</w:t>
            </w:r>
          </w:p>
          <w:p w:rsidR="009E5400" w:rsidRDefault="009E5400" w:rsidP="00A60AC9">
            <w:pPr>
              <w:pStyle w:val="Odstavecseseznamem"/>
              <w:numPr>
                <w:ilvl w:val="0"/>
                <w:numId w:val="7"/>
              </w:numPr>
            </w:pPr>
            <w:r>
              <w:t>Velké množství drobných vlastníků lesních pozemků.</w:t>
            </w:r>
          </w:p>
          <w:p w:rsidR="00E33CAA" w:rsidRDefault="00E33CAA" w:rsidP="00A60AC9">
            <w:pPr>
              <w:pStyle w:val="Odstavecseseznamem"/>
              <w:numPr>
                <w:ilvl w:val="0"/>
                <w:numId w:val="7"/>
              </w:numPr>
            </w:pPr>
            <w:r>
              <w:t xml:space="preserve">Nízká vybavenost lesnickou technikou. </w:t>
            </w:r>
          </w:p>
          <w:p w:rsidR="00E33CAA" w:rsidRDefault="00E33CAA" w:rsidP="00A60AC9">
            <w:pPr>
              <w:pStyle w:val="Odstavecseseznamem"/>
              <w:numPr>
                <w:ilvl w:val="0"/>
                <w:numId w:val="7"/>
              </w:numPr>
            </w:pPr>
            <w:r>
              <w:t>Minimální vybavenost provozů zemědělských podnikatelů pro potravinářskou výrobu.</w:t>
            </w:r>
          </w:p>
        </w:tc>
      </w:tr>
      <w:tr w:rsidR="002A6C67" w:rsidTr="00F9794C">
        <w:trPr>
          <w:cantSplit/>
        </w:trPr>
        <w:tc>
          <w:tcPr>
            <w:tcW w:w="4606" w:type="dxa"/>
            <w:shd w:val="clear" w:color="auto" w:fill="B8CCE4" w:themeFill="accent1" w:themeFillTint="66"/>
          </w:tcPr>
          <w:p w:rsidR="002A6C67" w:rsidRPr="000F7E1C" w:rsidRDefault="002A6C67" w:rsidP="00F9794C">
            <w:pPr>
              <w:rPr>
                <w:b/>
              </w:rPr>
            </w:pPr>
            <w:r w:rsidRPr="000F7E1C">
              <w:rPr>
                <w:b/>
              </w:rPr>
              <w:t>O „Příležitosti“</w:t>
            </w:r>
          </w:p>
        </w:tc>
        <w:tc>
          <w:tcPr>
            <w:tcW w:w="4606" w:type="dxa"/>
            <w:shd w:val="clear" w:color="auto" w:fill="E5B8B7" w:themeFill="accent2" w:themeFillTint="66"/>
          </w:tcPr>
          <w:p w:rsidR="002A6C67" w:rsidRPr="000F7E1C" w:rsidRDefault="002A6C67" w:rsidP="00F9794C">
            <w:pPr>
              <w:rPr>
                <w:b/>
              </w:rPr>
            </w:pPr>
            <w:r w:rsidRPr="000F7E1C">
              <w:rPr>
                <w:b/>
              </w:rPr>
              <w:t>T „Hrozby“</w:t>
            </w:r>
          </w:p>
        </w:tc>
      </w:tr>
      <w:tr w:rsidR="002A6C67" w:rsidTr="00F9794C">
        <w:trPr>
          <w:cantSplit/>
          <w:trHeight w:val="2829"/>
        </w:trPr>
        <w:tc>
          <w:tcPr>
            <w:tcW w:w="4606" w:type="dxa"/>
            <w:shd w:val="clear" w:color="auto" w:fill="DBE5F1" w:themeFill="accent1" w:themeFillTint="33"/>
          </w:tcPr>
          <w:p w:rsidR="002A6C67" w:rsidRDefault="00643042" w:rsidP="00A60AC9">
            <w:pPr>
              <w:pStyle w:val="Odstavecseseznamem"/>
              <w:numPr>
                <w:ilvl w:val="0"/>
                <w:numId w:val="33"/>
              </w:numPr>
            </w:pPr>
            <w:r>
              <w:t>Diverzifikace činností zemědělců do jiných oborů.</w:t>
            </w:r>
          </w:p>
          <w:p w:rsidR="002A6C67" w:rsidRDefault="00AE358D" w:rsidP="00A60AC9">
            <w:pPr>
              <w:pStyle w:val="Odstavecseseznamem"/>
              <w:numPr>
                <w:ilvl w:val="0"/>
                <w:numId w:val="33"/>
              </w:numPr>
            </w:pPr>
            <w:r>
              <w:t>Turistická atraktivita regionu.</w:t>
            </w:r>
          </w:p>
          <w:p w:rsidR="00643042" w:rsidRDefault="00FA6F66" w:rsidP="00A60AC9">
            <w:pPr>
              <w:pStyle w:val="Odstavecseseznamem"/>
              <w:numPr>
                <w:ilvl w:val="0"/>
                <w:numId w:val="33"/>
              </w:numPr>
            </w:pPr>
            <w:r>
              <w:t>Popularita a propagace kvalitních regionálních produktů v rámci ČR i EU.</w:t>
            </w:r>
          </w:p>
          <w:p w:rsidR="00FA6F66" w:rsidRDefault="00FA6F66" w:rsidP="00A60AC9">
            <w:pPr>
              <w:pStyle w:val="Odstavecseseznamem"/>
              <w:numPr>
                <w:ilvl w:val="0"/>
                <w:numId w:val="33"/>
              </w:numPr>
            </w:pPr>
            <w:r>
              <w:t xml:space="preserve">Využití zemědělské produkce </w:t>
            </w:r>
            <w:r w:rsidR="009E5400">
              <w:t xml:space="preserve"> mimo potravinářství.</w:t>
            </w:r>
          </w:p>
          <w:p w:rsidR="00E33CAA" w:rsidRDefault="00E33CAA" w:rsidP="00A60AC9">
            <w:pPr>
              <w:pStyle w:val="Odstavecseseznamem"/>
              <w:numPr>
                <w:ilvl w:val="0"/>
                <w:numId w:val="33"/>
              </w:numPr>
            </w:pPr>
            <w:r>
              <w:t>Potenciál plynoucí ze spolupráce subjektů (zejména ).</w:t>
            </w:r>
          </w:p>
        </w:tc>
        <w:tc>
          <w:tcPr>
            <w:tcW w:w="4606" w:type="dxa"/>
            <w:shd w:val="clear" w:color="auto" w:fill="F2DBDB" w:themeFill="accent2" w:themeFillTint="33"/>
          </w:tcPr>
          <w:p w:rsidR="002A6C67" w:rsidRDefault="00643042" w:rsidP="00A60AC9">
            <w:pPr>
              <w:pStyle w:val="Odstavecseseznamem"/>
              <w:numPr>
                <w:ilvl w:val="0"/>
                <w:numId w:val="32"/>
              </w:numPr>
            </w:pPr>
            <w:r>
              <w:t>Vliv klimatických změn a povětrnostních extrémů.</w:t>
            </w:r>
          </w:p>
          <w:p w:rsidR="00AE358D" w:rsidRDefault="00AE358D" w:rsidP="00A60AC9">
            <w:pPr>
              <w:pStyle w:val="Odstavecseseznamem"/>
              <w:numPr>
                <w:ilvl w:val="0"/>
                <w:numId w:val="32"/>
              </w:numPr>
            </w:pPr>
            <w:r>
              <w:t>Riziko eroze půd v regionu.</w:t>
            </w:r>
          </w:p>
        </w:tc>
      </w:tr>
    </w:tbl>
    <w:p w:rsidR="002A6C67" w:rsidRDefault="002A6C67" w:rsidP="002A6C67"/>
    <w:p w:rsidR="006E5B12" w:rsidRDefault="00301D1C" w:rsidP="00A60AC9">
      <w:pPr>
        <w:pStyle w:val="Odstavecseseznamem"/>
        <w:numPr>
          <w:ilvl w:val="0"/>
          <w:numId w:val="32"/>
        </w:numPr>
      </w:pPr>
      <w:r>
        <w:t>Řada negativních faktorů úzce souvisí s</w:t>
      </w:r>
      <w:r w:rsidR="006E5B12">
        <w:t xml:space="preserve"> typem výroby, zpracování a prodeje subjektů v regionu.</w:t>
      </w:r>
    </w:p>
    <w:p w:rsidR="00E6003D" w:rsidRDefault="006E5B12" w:rsidP="00A60AC9">
      <w:pPr>
        <w:pStyle w:val="Odstavecseseznamem"/>
        <w:numPr>
          <w:ilvl w:val="1"/>
          <w:numId w:val="32"/>
        </w:numPr>
      </w:pPr>
      <w:r>
        <w:lastRenderedPageBreak/>
        <w:t xml:space="preserve">Jedním z cílů do budoucna tak je podpora budování provozů pro zpracování zemědělské prvovýroby do podoby konečných produktů, a to včetně souvisejících skladovacích prostor. Důležitý je rovněž navazující prodej, distribuční kanály a podpora prodeje v regionu. Tímto směrem se chtějí ubírat zejména menší soukromí zemědělci. </w:t>
      </w:r>
    </w:p>
    <w:p w:rsidR="006E5B12" w:rsidRDefault="006E5B12" w:rsidP="00A60AC9">
      <w:pPr>
        <w:pStyle w:val="Odstavecseseznamem"/>
        <w:numPr>
          <w:ilvl w:val="1"/>
          <w:numId w:val="32"/>
        </w:numPr>
      </w:pPr>
      <w:r>
        <w:t>Další možnou cestou je diverzifikace činností zemědělských subjektů mimo primární obor, a to také do sféry služeb (zejména agroturistika).</w:t>
      </w:r>
    </w:p>
    <w:p w:rsidR="006E5B12" w:rsidRDefault="006E5B12" w:rsidP="00A60AC9">
      <w:pPr>
        <w:pStyle w:val="Odstavecseseznamem"/>
        <w:numPr>
          <w:ilvl w:val="1"/>
          <w:numId w:val="32"/>
        </w:numPr>
      </w:pPr>
      <w:r>
        <w:t>Atraktivní je rovněž využívání pozemků k pěstován</w:t>
      </w:r>
      <w:r w:rsidR="00810520">
        <w:t>í</w:t>
      </w:r>
      <w:r>
        <w:t xml:space="preserve"> rychle rostoucích dřevin jako</w:t>
      </w:r>
      <w:r w:rsidR="006C3CD3">
        <w:t xml:space="preserve"> obnovitelného zdroje energie. K</w:t>
      </w:r>
      <w:r>
        <w:t xml:space="preserve"> této produkci bude podporováno vybudování kapacit pro další zpracování do podoby konečného paliva. </w:t>
      </w:r>
    </w:p>
    <w:p w:rsidR="006E5B12" w:rsidRDefault="006E5B12" w:rsidP="006E5B12">
      <w:pPr>
        <w:ind w:left="708"/>
      </w:pPr>
      <w:r>
        <w:t xml:space="preserve">Výše uvedené aktivity jsou </w:t>
      </w:r>
      <w:r w:rsidR="00E33CAA">
        <w:t xml:space="preserve">v případě vytváření nových kapacit pro agroturistiku nebo pro potravinářskou produkci závislé na dotačních prostředcích. </w:t>
      </w:r>
    </w:p>
    <w:p w:rsidR="00A751C7" w:rsidRDefault="00E33CAA" w:rsidP="00A60AC9">
      <w:pPr>
        <w:pStyle w:val="Odstavecseseznamem"/>
        <w:numPr>
          <w:ilvl w:val="0"/>
          <w:numId w:val="32"/>
        </w:numPr>
      </w:pPr>
      <w:r>
        <w:t xml:space="preserve">Stavy lesů </w:t>
      </w:r>
      <w:r w:rsidR="00A751C7">
        <w:t>lze zlepšit pořízením příslušných technologií pro jejich údržbu a obnovu, a to zejména v případě subjektů hospodařících na větší výměře. U menších majitelů lesů se nabízí jisté formy spolupráce a případné využívání společné techniky na lesních pozemcích více majitelů</w:t>
      </w:r>
    </w:p>
    <w:p w:rsidR="00A751C7" w:rsidRDefault="00A751C7" w:rsidP="00A751C7">
      <w:pPr>
        <w:pStyle w:val="Odstavecseseznamem"/>
        <w:ind w:left="720"/>
      </w:pPr>
      <w:r>
        <w:t>Financování je v menší míře reálné z místních zdrojů. Větší investice se neobešly bez dotační podpory. Stejně jako v případě investic do diverzifikace činností, agroturistiky, potravinářské produkce,</w:t>
      </w:r>
      <w:r w:rsidR="006C3CD3">
        <w:t xml:space="preserve"> </w:t>
      </w:r>
      <w:r>
        <w:t>apod. by bylo nutné financování z cizích zdrojů formou úvěrů, což by ohrozilo budoucí investice, zaměstnávání apod.</w:t>
      </w:r>
    </w:p>
    <w:p w:rsidR="00A751C7" w:rsidRDefault="00A751C7" w:rsidP="00A60AC9">
      <w:pPr>
        <w:pStyle w:val="Odstavecseseznamem"/>
        <w:numPr>
          <w:ilvl w:val="0"/>
          <w:numId w:val="32"/>
        </w:numPr>
      </w:pPr>
      <w:r>
        <w:t>Z komunikace se zemědělskými podnikateli rovněž vyplynuly náměty na zajištění společných distribučních kanálů, prodejních míst a akcí a propagace potravinové produkce zemědělců. Organizaci tohoto projektu by převzal jedem zastřešující subjekt (případně MAS Litomyšlsko o.p.s.), přičemž výstupy projektu by sloužili všem zapojeným subjektům.</w:t>
      </w:r>
    </w:p>
    <w:p w:rsidR="00A751C7" w:rsidRDefault="00A751C7" w:rsidP="00A751C7">
      <w:pPr>
        <w:pStyle w:val="Odstavecseseznamem"/>
        <w:ind w:left="720"/>
      </w:pPr>
      <w:r>
        <w:t>Tento projekt však může být až navazujícím na vybudování dostatečných produkčních kapacit regionálních výrobců (zejména soukromých zemědělců).</w:t>
      </w:r>
    </w:p>
    <w:p w:rsidR="00A751C7" w:rsidRPr="002A6C67" w:rsidRDefault="00A751C7" w:rsidP="00A751C7">
      <w:pPr>
        <w:pStyle w:val="Odstavecseseznamem"/>
        <w:ind w:left="720"/>
      </w:pPr>
      <w:r>
        <w:t xml:space="preserve">Projekt by při malém počtu zapojených subjektů byl závislý na </w:t>
      </w:r>
      <w:r w:rsidR="00AD0914">
        <w:t>dotačních prostředcích. Při větším počtu by případně bylo možné sdílení nákladů producenty.</w:t>
      </w:r>
    </w:p>
    <w:p w:rsidR="00120802" w:rsidRDefault="00120802" w:rsidP="009F4D7F">
      <w:pPr>
        <w:pStyle w:val="Nadpis3"/>
      </w:pPr>
      <w:bookmarkStart w:id="33" w:name="_Toc430006507"/>
      <w:r>
        <w:lastRenderedPageBreak/>
        <w:t>Turistický ruch</w:t>
      </w:r>
      <w:bookmarkEnd w:id="33"/>
    </w:p>
    <w:p w:rsidR="00104B0F" w:rsidRPr="007F2EB0" w:rsidRDefault="00104B0F" w:rsidP="00104B0F">
      <w:r w:rsidRPr="007F2EB0">
        <w:t>Region se zavedl jako destinace velmi různorodých návštěvnických účelů, které dnes můžeme považovat za tradiční a stabilní. Různost se pochopitelně odráží v odlišných skupinách a především odlišných výdajových prioritách, hodnotových postojích a dalších charakteristikách. Z těchto důvodů není praktické uvažovat o jednotné destinační strategii. Dílčí území musí hledět na potřeby svých návštěvníků. Jediné, co nyní do roku 2020 může strategicky fungovat vcelku, jsou určitě podpůrné a doplňkové produkty a komunikace, které by se prosadily do portfolia jejich zážitkových hodnot.</w:t>
      </w:r>
    </w:p>
    <w:p w:rsidR="00104B0F" w:rsidRPr="007F2EB0" w:rsidRDefault="00104B0F" w:rsidP="00104B0F">
      <w:r w:rsidRPr="007F2EB0">
        <w:t>Za hlavní cíl si turisté vybírají Litomyšl. Děje se tak bez nebo s minimálním vnímáním okolí města, resp. regionu. Litomyšl patří k nejnavštěvovanějším cílům v České republice a v přepočtu na počet obyvatel je v desítce nejatraktivnějších měst. Návštěvnické skupiny zahrnují všechny socioekonomické kategorie a bez nadsázky téměř každý občan republiky město v životě navštíví. Bohužel, skupinové výpravy jako školní výlety spojují Litomyšl s cíli mimo region. Rodiny s dětmi nebo návštěvníci kulturní sezóny jsou zase soustředěni na město a je obtížné oslovovat je další odlišnou tématikou v regionu.</w:t>
      </w:r>
    </w:p>
    <w:p w:rsidR="00104B0F" w:rsidRPr="007F2EB0" w:rsidRDefault="00104B0F" w:rsidP="00104B0F">
      <w:r w:rsidRPr="007F2EB0">
        <w:t>Druhé z center, Vysoké Mýto, není a stěží kdy bude turisticky zvlášť atraktivní</w:t>
      </w:r>
      <w:r w:rsidR="005721AF" w:rsidRPr="007F2EB0">
        <w:t xml:space="preserve"> jako zmiňovaná Litomyšl, a to i přes množství kulturních a architektonických památek</w:t>
      </w:r>
      <w:r w:rsidRPr="007F2EB0">
        <w:t>. Návštěvy jsou zde spíše</w:t>
      </w:r>
      <w:r w:rsidR="005721AF" w:rsidRPr="007F2EB0">
        <w:t xml:space="preserve"> krátkodobé</w:t>
      </w:r>
      <w:r w:rsidRPr="007F2EB0">
        <w:t xml:space="preserve"> </w:t>
      </w:r>
      <w:r w:rsidR="005721AF" w:rsidRPr="007F2EB0">
        <w:t>(</w:t>
      </w:r>
      <w:r w:rsidRPr="007F2EB0">
        <w:t>zastávkou, průjezdem</w:t>
      </w:r>
      <w:r w:rsidR="005721AF" w:rsidRPr="007F2EB0">
        <w:t xml:space="preserve"> nebo několik málo dní)</w:t>
      </w:r>
      <w:r w:rsidRPr="007F2EB0">
        <w:t>. Omezenou skupinu tvoří lidé okolo zdejšího autodromu a jeho programů. Většina ostatního území je venkovská vrchovina. Na ní se usadili chalupáři, cykloturisté</w:t>
      </w:r>
      <w:r w:rsidR="005721AF" w:rsidRPr="007F2EB0">
        <w:t>, pěší turisté</w:t>
      </w:r>
      <w:r w:rsidRPr="007F2EB0">
        <w:t xml:space="preserve">, houbaři a podobně. V tomto prostoru nacházejí spoustu přírodních neformálních hodnot, aniž by museli využít placené služby nebo infrastrukturu. Tento typ návštěvníků je úsporný v místních útratách včetně ubytování a nezbytných výdajů. Atmosféru potvrzuje také zřizování cyklostezek, rychlých občerstvení, takže se pobyt racionalizuje a neozvláštňuje. </w:t>
      </w:r>
      <w:r w:rsidR="005721AF" w:rsidRPr="007F2EB0">
        <w:t>Vysokému Mýtu a jeho okolí obecně by prospěla významnější propagační kampaň.</w:t>
      </w:r>
    </w:p>
    <w:p w:rsidR="00125EEC" w:rsidRPr="007F2EB0" w:rsidRDefault="00125EEC" w:rsidP="00104B0F">
      <w:r w:rsidRPr="007F2EB0">
        <w:t>Z dotazníkového šetření v regionu je evidentní, že jsou v regionu místa (obce) a subjekty, které nejsou turistickým ruchem blízkých center dotčeny a nemají tudíž měřitelný přínos.</w:t>
      </w:r>
    </w:p>
    <w:p w:rsidR="00125EEC" w:rsidRDefault="00125EEC" w:rsidP="00125EEC">
      <w:r w:rsidRPr="00D972B2">
        <w:rPr>
          <w:noProof/>
          <w:lang w:eastAsia="cs-CZ"/>
        </w:rPr>
        <w:lastRenderedPageBreak/>
        <w:drawing>
          <wp:inline distT="0" distB="0" distL="0" distR="0">
            <wp:extent cx="2857500" cy="1971675"/>
            <wp:effectExtent l="19050" t="0" r="19050" b="0"/>
            <wp:docPr id="44"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5721AF">
        <w:rPr>
          <w:noProof/>
          <w:lang w:eastAsia="cs-CZ"/>
        </w:rPr>
        <w:drawing>
          <wp:inline distT="0" distB="0" distL="0" distR="0">
            <wp:extent cx="2809875" cy="1971675"/>
            <wp:effectExtent l="19050" t="0" r="9525" b="0"/>
            <wp:docPr id="45"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25EEC" w:rsidRDefault="00125EEC" w:rsidP="00125EEC">
      <w:r>
        <w:t xml:space="preserve">Pohled </w:t>
      </w:r>
      <w:r w:rsidR="00FB558C">
        <w:t>zástupců obcí</w:t>
      </w:r>
      <w:r>
        <w:t xml:space="preserve"> vlevo, obyvatel vpravo</w:t>
      </w:r>
    </w:p>
    <w:p w:rsidR="00104B0F" w:rsidRPr="007F2EB0" w:rsidRDefault="00104B0F" w:rsidP="00104B0F">
      <w:r w:rsidRPr="007F2EB0">
        <w:t>Vztah mezi počtem (</w:t>
      </w:r>
      <w:r w:rsidR="00FF44A6">
        <w:t>člověkodny</w:t>
      </w:r>
      <w:r w:rsidRPr="007F2EB0">
        <w:t>) návštěvníků a regionem (územím, prostředím) můžeme chápat jako vyvážený. Není tedy podstatné cílit na zvyšování návštěvnosti. Prospěch regionu a místních obyvatel napříště může ležet spíše na proměnách chování návštěvníků. MAS to vidí v oblasti vyšších útrat místním za místní produkci, v šetrnosti ke krajině a přírodním hodnotám, ve sdílení služeb s místními tak, aby tyto služby a podniky byly lépe udržitelné a prosperující. Odhlé</w:t>
      </w:r>
      <w:r w:rsidR="00810520">
        <w:t>dneme-li od Litomyšle samotné, p</w:t>
      </w:r>
      <w:r w:rsidRPr="007F2EB0">
        <w:t>ak regionu chybí nápaditější a obsáhlejší způsoby informování a motivování návštěvníků do míst</w:t>
      </w:r>
      <w:r w:rsidR="005721AF" w:rsidRPr="007F2EB0">
        <w:t xml:space="preserve"> mimo město</w:t>
      </w:r>
      <w:r w:rsidRPr="007F2EB0">
        <w:t>, které stojí za návštěvu. V tomto ohledu je turistické informování příliš ve vleku tradiční typologie zavedených cílů a tras. Jen zřídka se snaží přiblížit další možné zajímavosti a pěkná místa. Ani obce dosud nepřijaly tezi, že mohou ukazovat více a nepracují na údržbě a zviditelnění drobných památek nebo krajinných scenérií. Z odpovědí, které MAS získala z dotazníků</w:t>
      </w:r>
      <w:r w:rsidR="00810520">
        <w:t>,</w:t>
      </w:r>
      <w:r w:rsidRPr="007F2EB0">
        <w:t xml:space="preserve"> jsou přitom patrné ambice i ve skromných venkovských sídlech ukázat a poskytnou</w:t>
      </w:r>
      <w:r w:rsidR="00810520">
        <w:t>t návštěvníkům</w:t>
      </w:r>
      <w:r w:rsidR="00125EEC" w:rsidRPr="007F2EB0">
        <w:t xml:space="preserve"> více než dosud.</w:t>
      </w:r>
    </w:p>
    <w:p w:rsidR="00125EEC" w:rsidRDefault="00125EEC" w:rsidP="00125EEC"/>
    <w:p w:rsidR="00125EEC" w:rsidRDefault="00125EEC" w:rsidP="00125EEC">
      <w:r w:rsidRPr="00D972B2">
        <w:rPr>
          <w:noProof/>
          <w:lang w:eastAsia="cs-CZ"/>
        </w:rPr>
        <w:lastRenderedPageBreak/>
        <w:drawing>
          <wp:inline distT="0" distB="0" distL="0" distR="0">
            <wp:extent cx="5760720" cy="3014487"/>
            <wp:effectExtent l="19050" t="0" r="11430" b="0"/>
            <wp:docPr id="46"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25EEC" w:rsidRDefault="00125EEC" w:rsidP="00125EEC">
      <w:r w:rsidRPr="00125EEC">
        <w:rPr>
          <w:noProof/>
          <w:lang w:eastAsia="cs-CZ"/>
        </w:rPr>
        <w:drawing>
          <wp:inline distT="0" distB="0" distL="0" distR="0">
            <wp:extent cx="5760720" cy="3320100"/>
            <wp:effectExtent l="19050" t="0" r="11430" b="0"/>
            <wp:docPr id="4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04B0F" w:rsidRPr="007F2EB0" w:rsidRDefault="00104B0F" w:rsidP="00104B0F">
      <w:r w:rsidRPr="007F2EB0">
        <w:t>Shrneme-li dosavadní vývoj turistiky, je zde potenciál vytěžit z návštěvníků pro region více. Nejde tak ani o počet návštěvníků, protože ten není vzhledem k typologii zařízení</w:t>
      </w:r>
      <w:r w:rsidR="00125EEC" w:rsidRPr="007F2EB0">
        <w:t xml:space="preserve"> a </w:t>
      </w:r>
      <w:r w:rsidRPr="007F2EB0">
        <w:t xml:space="preserve">segmentaci územní statistiky, ani přibližně doložitelný. </w:t>
      </w:r>
      <w:r w:rsidR="00125EEC" w:rsidRPr="007F2EB0">
        <w:t>Potenciál přínosů je možné </w:t>
      </w:r>
      <w:r w:rsidRPr="007F2EB0">
        <w:t>rozvinout i na stávající návštěvnost:</w:t>
      </w:r>
    </w:p>
    <w:p w:rsidR="00104B0F" w:rsidRPr="007F2EB0" w:rsidRDefault="002565D6" w:rsidP="00A60AC9">
      <w:pPr>
        <w:pStyle w:val="Odstavecseseznamem"/>
        <w:numPr>
          <w:ilvl w:val="0"/>
          <w:numId w:val="32"/>
        </w:numPr>
      </w:pPr>
      <w:r>
        <w:t>p</w:t>
      </w:r>
      <w:r w:rsidR="00125EEC" w:rsidRPr="007F2EB0">
        <w:t xml:space="preserve">ropagací a </w:t>
      </w:r>
      <w:r w:rsidR="00104B0F" w:rsidRPr="007F2EB0">
        <w:t>důkladnějším popularizačním popisem míst a obcí;</w:t>
      </w:r>
    </w:p>
    <w:p w:rsidR="00104B0F" w:rsidRPr="007F2EB0" w:rsidRDefault="00FF44A6" w:rsidP="00A60AC9">
      <w:pPr>
        <w:pStyle w:val="Odstavecseseznamem"/>
        <w:numPr>
          <w:ilvl w:val="0"/>
          <w:numId w:val="32"/>
        </w:numPr>
      </w:pPr>
      <w:r>
        <w:t>podrobnější a přes</w:t>
      </w:r>
      <w:r w:rsidR="00104B0F" w:rsidRPr="007F2EB0">
        <w:t>nější navigací;</w:t>
      </w:r>
    </w:p>
    <w:p w:rsidR="00104B0F" w:rsidRPr="007F2EB0" w:rsidRDefault="00104B0F" w:rsidP="00A60AC9">
      <w:pPr>
        <w:pStyle w:val="Odstavecseseznamem"/>
        <w:numPr>
          <w:ilvl w:val="0"/>
          <w:numId w:val="32"/>
        </w:numPr>
      </w:pPr>
      <w:r w:rsidRPr="007F2EB0">
        <w:lastRenderedPageBreak/>
        <w:t>vyšší úrovní základních služeb namísto pouhých občerstvení a výčepů;</w:t>
      </w:r>
    </w:p>
    <w:p w:rsidR="00104B0F" w:rsidRPr="007F2EB0" w:rsidRDefault="00104B0F" w:rsidP="00A60AC9">
      <w:pPr>
        <w:pStyle w:val="Odstavecseseznamem"/>
        <w:numPr>
          <w:ilvl w:val="0"/>
          <w:numId w:val="32"/>
        </w:numPr>
      </w:pPr>
      <w:r w:rsidRPr="007F2EB0">
        <w:t>zařazením místní produkce toho co je obsaženo v trendech zdravé výživy, péče o kondici, návratu k přírodním zdrojům, objevování lokální historie a příběhů.</w:t>
      </w:r>
    </w:p>
    <w:p w:rsidR="00104B0F" w:rsidRDefault="00104B0F" w:rsidP="00104B0F">
      <w:r w:rsidRPr="007F2EB0">
        <w:t>Opatření, která mohou takovému rozvoji prospět, lze zahrnout do strategických oblastí agroturistiky, informačních systémů a regenerace krajinných prvků.</w:t>
      </w:r>
    </w:p>
    <w:p w:rsidR="005721AF" w:rsidRDefault="005721AF" w:rsidP="005721AF">
      <w:pPr>
        <w:pStyle w:val="Nadpis4"/>
      </w:pPr>
      <w:r>
        <w:t>Shrnutí informací turistickém ruchu</w:t>
      </w:r>
    </w:p>
    <w:tbl>
      <w:tblPr>
        <w:tblStyle w:val="Mkatabulky"/>
        <w:tblW w:w="0" w:type="auto"/>
        <w:tblLook w:val="04A0"/>
      </w:tblPr>
      <w:tblGrid>
        <w:gridCol w:w="4606"/>
        <w:gridCol w:w="4606"/>
      </w:tblGrid>
      <w:tr w:rsidR="005721AF" w:rsidTr="00125EEC">
        <w:trPr>
          <w:cantSplit/>
        </w:trPr>
        <w:tc>
          <w:tcPr>
            <w:tcW w:w="4606" w:type="dxa"/>
            <w:shd w:val="clear" w:color="auto" w:fill="D6E3BC" w:themeFill="accent3" w:themeFillTint="66"/>
          </w:tcPr>
          <w:p w:rsidR="005721AF" w:rsidRPr="000F7E1C" w:rsidRDefault="005721AF" w:rsidP="00125EEC">
            <w:pPr>
              <w:rPr>
                <w:b/>
              </w:rPr>
            </w:pPr>
            <w:r w:rsidRPr="000F7E1C">
              <w:rPr>
                <w:b/>
              </w:rPr>
              <w:t>S „Silné stránky“</w:t>
            </w:r>
          </w:p>
        </w:tc>
        <w:tc>
          <w:tcPr>
            <w:tcW w:w="4606" w:type="dxa"/>
            <w:shd w:val="clear" w:color="auto" w:fill="FBD4B4" w:themeFill="accent6" w:themeFillTint="66"/>
          </w:tcPr>
          <w:p w:rsidR="005721AF" w:rsidRPr="000F7E1C" w:rsidRDefault="005721AF" w:rsidP="00125EEC">
            <w:pPr>
              <w:rPr>
                <w:b/>
              </w:rPr>
            </w:pPr>
            <w:r w:rsidRPr="000F7E1C">
              <w:rPr>
                <w:b/>
              </w:rPr>
              <w:t>W „Slabé stránky“</w:t>
            </w:r>
          </w:p>
        </w:tc>
      </w:tr>
      <w:tr w:rsidR="005721AF" w:rsidTr="00125EEC">
        <w:trPr>
          <w:cantSplit/>
          <w:trHeight w:val="2309"/>
        </w:trPr>
        <w:tc>
          <w:tcPr>
            <w:tcW w:w="4606" w:type="dxa"/>
            <w:shd w:val="clear" w:color="auto" w:fill="EAF1DD" w:themeFill="accent3" w:themeFillTint="33"/>
          </w:tcPr>
          <w:p w:rsidR="005721AF" w:rsidRDefault="00FB27E5" w:rsidP="00A60AC9">
            <w:pPr>
              <w:pStyle w:val="Odstavecseseznamem"/>
              <w:numPr>
                <w:ilvl w:val="0"/>
                <w:numId w:val="7"/>
              </w:numPr>
            </w:pPr>
            <w:r>
              <w:t>Atraktivnost města Litomyšl</w:t>
            </w:r>
          </w:p>
          <w:p w:rsidR="00FB27E5" w:rsidRDefault="00FB27E5" w:rsidP="00A60AC9">
            <w:pPr>
              <w:pStyle w:val="Odstavecseseznamem"/>
              <w:numPr>
                <w:ilvl w:val="0"/>
                <w:numId w:val="7"/>
              </w:numPr>
            </w:pPr>
            <w:r>
              <w:t>Množství zajímavých památek, míst a akcí v regionu.</w:t>
            </w:r>
          </w:p>
        </w:tc>
        <w:tc>
          <w:tcPr>
            <w:tcW w:w="4606" w:type="dxa"/>
            <w:shd w:val="clear" w:color="auto" w:fill="FDE9D9" w:themeFill="accent6" w:themeFillTint="33"/>
          </w:tcPr>
          <w:p w:rsidR="005721AF" w:rsidRDefault="00FB27E5" w:rsidP="00A60AC9">
            <w:pPr>
              <w:pStyle w:val="Odstavecseseznamem"/>
              <w:numPr>
                <w:ilvl w:val="0"/>
                <w:numId w:val="7"/>
              </w:numPr>
            </w:pPr>
            <w:r>
              <w:t xml:space="preserve">Slabá propagace </w:t>
            </w:r>
            <w:r w:rsidR="008E221F">
              <w:t xml:space="preserve">a informovanost týkající se cílů </w:t>
            </w:r>
            <w:r>
              <w:t>mimo Litomyšl.</w:t>
            </w:r>
          </w:p>
          <w:p w:rsidR="00FB27E5" w:rsidRDefault="008E221F" w:rsidP="00A60AC9">
            <w:pPr>
              <w:pStyle w:val="Odstavecseseznamem"/>
              <w:numPr>
                <w:ilvl w:val="0"/>
                <w:numId w:val="7"/>
              </w:numPr>
            </w:pPr>
            <w:r>
              <w:t>Turistická i</w:t>
            </w:r>
            <w:r w:rsidR="00FB27E5">
              <w:t>nfrastruktura</w:t>
            </w:r>
            <w:r>
              <w:t xml:space="preserve"> a služby </w:t>
            </w:r>
            <w:r w:rsidR="00FB27E5">
              <w:t>mimo centra.</w:t>
            </w:r>
          </w:p>
        </w:tc>
      </w:tr>
      <w:tr w:rsidR="005721AF" w:rsidTr="00125EEC">
        <w:trPr>
          <w:cantSplit/>
        </w:trPr>
        <w:tc>
          <w:tcPr>
            <w:tcW w:w="4606" w:type="dxa"/>
            <w:shd w:val="clear" w:color="auto" w:fill="B8CCE4" w:themeFill="accent1" w:themeFillTint="66"/>
          </w:tcPr>
          <w:p w:rsidR="005721AF" w:rsidRPr="000F7E1C" w:rsidRDefault="005721AF" w:rsidP="00125EEC">
            <w:pPr>
              <w:rPr>
                <w:b/>
              </w:rPr>
            </w:pPr>
            <w:r w:rsidRPr="000F7E1C">
              <w:rPr>
                <w:b/>
              </w:rPr>
              <w:t>O „Příležitosti“</w:t>
            </w:r>
          </w:p>
        </w:tc>
        <w:tc>
          <w:tcPr>
            <w:tcW w:w="4606" w:type="dxa"/>
            <w:shd w:val="clear" w:color="auto" w:fill="E5B8B7" w:themeFill="accent2" w:themeFillTint="66"/>
          </w:tcPr>
          <w:p w:rsidR="005721AF" w:rsidRPr="000F7E1C" w:rsidRDefault="005721AF" w:rsidP="00125EEC">
            <w:pPr>
              <w:rPr>
                <w:b/>
              </w:rPr>
            </w:pPr>
            <w:r w:rsidRPr="000F7E1C">
              <w:rPr>
                <w:b/>
              </w:rPr>
              <w:t>T „Hrozby“</w:t>
            </w:r>
          </w:p>
        </w:tc>
      </w:tr>
      <w:tr w:rsidR="005721AF" w:rsidTr="00125EEC">
        <w:trPr>
          <w:cantSplit/>
          <w:trHeight w:val="2829"/>
        </w:trPr>
        <w:tc>
          <w:tcPr>
            <w:tcW w:w="4606" w:type="dxa"/>
            <w:shd w:val="clear" w:color="auto" w:fill="DBE5F1" w:themeFill="accent1" w:themeFillTint="33"/>
          </w:tcPr>
          <w:p w:rsidR="005721AF" w:rsidRDefault="00FB27E5" w:rsidP="00A60AC9">
            <w:pPr>
              <w:pStyle w:val="Odstavecseseznamem"/>
              <w:numPr>
                <w:ilvl w:val="0"/>
                <w:numId w:val="33"/>
              </w:numPr>
            </w:pPr>
            <w:r>
              <w:t>Možnost agregace místní a turistické poptávky a tím rozvoj služeb.</w:t>
            </w:r>
          </w:p>
          <w:p w:rsidR="00FB27E5" w:rsidRDefault="00FB27E5" w:rsidP="00A60AC9">
            <w:pPr>
              <w:pStyle w:val="Odstavecseseznamem"/>
              <w:numPr>
                <w:ilvl w:val="0"/>
                <w:numId w:val="33"/>
              </w:numPr>
            </w:pPr>
            <w:r>
              <w:t>Potenciál regionálních produktů, a služeb (farmářské produkty, agroturistika...)</w:t>
            </w:r>
            <w:r w:rsidR="008E221F">
              <w:t>.</w:t>
            </w:r>
          </w:p>
        </w:tc>
        <w:tc>
          <w:tcPr>
            <w:tcW w:w="4606" w:type="dxa"/>
            <w:shd w:val="clear" w:color="auto" w:fill="F2DBDB" w:themeFill="accent2" w:themeFillTint="33"/>
          </w:tcPr>
          <w:p w:rsidR="005721AF" w:rsidRDefault="00FB27E5" w:rsidP="00A60AC9">
            <w:pPr>
              <w:pStyle w:val="Odstavecseseznamem"/>
              <w:numPr>
                <w:ilvl w:val="0"/>
                <w:numId w:val="32"/>
              </w:numPr>
            </w:pPr>
            <w:r>
              <w:t>Ekonomická situace v ČR i ve světě</w:t>
            </w:r>
            <w:r w:rsidR="008E221F">
              <w:t>.</w:t>
            </w:r>
          </w:p>
        </w:tc>
      </w:tr>
    </w:tbl>
    <w:p w:rsidR="005721AF" w:rsidRDefault="005721AF" w:rsidP="005721AF"/>
    <w:p w:rsidR="00CE436C" w:rsidRDefault="008E221F" w:rsidP="00A60AC9">
      <w:pPr>
        <w:pStyle w:val="Odstavecseseznamem"/>
        <w:numPr>
          <w:ilvl w:val="0"/>
          <w:numId w:val="32"/>
        </w:numPr>
      </w:pPr>
      <w:r>
        <w:t>Ekonomická situace je ze strany MAS neovlivnitelným faktorem.</w:t>
      </w:r>
    </w:p>
    <w:p w:rsidR="008E221F" w:rsidRPr="00C27817" w:rsidRDefault="008E221F" w:rsidP="00A60AC9">
      <w:pPr>
        <w:pStyle w:val="Odstavecseseznamem"/>
        <w:numPr>
          <w:ilvl w:val="0"/>
          <w:numId w:val="32"/>
        </w:numPr>
      </w:pPr>
      <w:r>
        <w:t>Slabé stránky jsou ovlivnitelné realizací propagačních a informativních projektů spolu s vytvářením podmínek a podporou pro vznik turistické infrastruktury</w:t>
      </w:r>
      <w:r w:rsidR="00084DEF">
        <w:t xml:space="preserve"> (cyklostezky, naučné stezky...)</w:t>
      </w:r>
      <w:r>
        <w:t xml:space="preserve"> a služeb. Nákladnější projety subjektů mimo centra nemohou být realizovány bez dotační podpory.</w:t>
      </w:r>
    </w:p>
    <w:p w:rsidR="00120802" w:rsidRDefault="00120802" w:rsidP="009F4D7F">
      <w:pPr>
        <w:pStyle w:val="Nadpis2"/>
      </w:pPr>
      <w:bookmarkStart w:id="34" w:name="_Toc430006508"/>
      <w:r>
        <w:lastRenderedPageBreak/>
        <w:t>Vyhodnocení rozvojového potenciálu území</w:t>
      </w:r>
      <w:bookmarkEnd w:id="34"/>
    </w:p>
    <w:p w:rsidR="00376040" w:rsidRPr="00376040" w:rsidRDefault="00376040" w:rsidP="00376040">
      <w:pPr>
        <w:ind w:left="360"/>
      </w:pPr>
      <w:r w:rsidRPr="00376040">
        <w:t xml:space="preserve">Region Litomyšlsko je obecně vzato region venkovský. Dvě největší města nemají velikost okresních měst, ačkoliv v porovnání s ostatními sídly regionu jsou výrazně dominantní a spádová. Z těchto hledisek nemůžeme potenciál regionu poměřovat s většími centry a region ani nemá dlouhodobé ambice k radikální změně typu velké produkční investice nebo zóny. Zpětný pohled nás přesvědčuje, že dosavadní dynamika a poklid v území je vyváženým způsobem rozvoje a zdrojem vyšší míry spokojenosti, jak dokládá provedené šetření. </w:t>
      </w:r>
    </w:p>
    <w:p w:rsidR="00120802" w:rsidRDefault="00EB5BD0" w:rsidP="009F4D7F">
      <w:pPr>
        <w:pStyle w:val="Nadpis3"/>
      </w:pPr>
      <w:bookmarkStart w:id="35" w:name="_Toc430006509"/>
      <w:r>
        <w:t>Územní plánování</w:t>
      </w:r>
      <w:bookmarkEnd w:id="35"/>
    </w:p>
    <w:p w:rsidR="00376040" w:rsidRPr="00376040" w:rsidRDefault="00376040" w:rsidP="00376040">
      <w:pPr>
        <w:ind w:left="360"/>
      </w:pPr>
      <w:r w:rsidRPr="00376040">
        <w:t>Územně plánovací dokumentace obcí se i díky podpoře z IOP vesměs aktualizovala a splňuje požadavky novelizované legislativy. V regionu působí nejsilněji nadřazená ÚPD</w:t>
      </w:r>
      <w:r w:rsidR="00FB558C">
        <w:t xml:space="preserve"> (územně plánovací dokumentace)</w:t>
      </w:r>
      <w:r w:rsidRPr="00376040">
        <w:t xml:space="preserve"> okolo trasy plánované rychlostní komunikace</w:t>
      </w:r>
      <w:r w:rsidR="00D00B34">
        <w:t xml:space="preserve"> R35</w:t>
      </w:r>
      <w:r w:rsidRPr="00376040">
        <w:t xml:space="preserve">. Týká se obou městských celků, protože zde vzniknou kompletní obchvaty, které samozřejmě změní poměry v užívání širšího území. Vedle nových rozvojových zón dojde určitě k útlumu či stagnaci v některých městských čtvrtích, podobně se poměry mohou otočit v obcích, které nová trasa mine namísto současného průjezdu. Problémem, který dosud není dořešen, je existence tzv. severní a jižní varianty obchvatu Litomyšle. Už z názvu je jasné, jak rozdílný dopad na město mezi nimi bude. V jižní části regionu je stav ÚPD stabilní, je zde osídlení s nízkou hustotou, ale bez velkých ochranářských nebo infrastrukturních záměrů. Stav </w:t>
      </w:r>
      <w:r w:rsidR="00FB558C">
        <w:t xml:space="preserve">a dostupnost </w:t>
      </w:r>
      <w:r w:rsidRPr="00376040">
        <w:t xml:space="preserve">ÚPD po obcích ukazuje tabulka. </w:t>
      </w:r>
    </w:p>
    <w:p w:rsidR="00376040" w:rsidRPr="00376040" w:rsidRDefault="00376040" w:rsidP="00376040"/>
    <w:tbl>
      <w:tblPr>
        <w:tblW w:w="10206" w:type="dxa"/>
        <w:tblInd w:w="-214" w:type="dxa"/>
        <w:tblCellMar>
          <w:left w:w="70" w:type="dxa"/>
          <w:right w:w="70" w:type="dxa"/>
        </w:tblCellMar>
        <w:tblLook w:val="04A0"/>
      </w:tblPr>
      <w:tblGrid>
        <w:gridCol w:w="1274"/>
        <w:gridCol w:w="849"/>
        <w:gridCol w:w="8083"/>
      </w:tblGrid>
      <w:tr w:rsidR="006A219A" w:rsidRPr="006A219A" w:rsidTr="00FB558C">
        <w:trPr>
          <w:trHeight w:val="300"/>
        </w:trPr>
        <w:tc>
          <w:tcPr>
            <w:tcW w:w="1274" w:type="dxa"/>
            <w:tcBorders>
              <w:top w:val="nil"/>
              <w:left w:val="nil"/>
              <w:bottom w:val="nil"/>
              <w:right w:val="nil"/>
            </w:tcBorders>
            <w:shd w:val="clear" w:color="000000" w:fill="17375D"/>
            <w:noWrap/>
            <w:vAlign w:val="bottom"/>
            <w:hideMark/>
          </w:tcPr>
          <w:p w:rsidR="006A219A" w:rsidRPr="006A219A" w:rsidRDefault="006A219A" w:rsidP="006A219A">
            <w:pPr>
              <w:suppressAutoHyphens w:val="0"/>
              <w:spacing w:after="0"/>
              <w:jc w:val="center"/>
              <w:rPr>
                <w:rFonts w:ascii="Calibri" w:hAnsi="Calibri" w:cs="Calibri"/>
                <w:b/>
                <w:bCs/>
                <w:color w:val="FFFFFF"/>
                <w:sz w:val="18"/>
                <w:szCs w:val="18"/>
                <w:lang w:eastAsia="cs-CZ"/>
              </w:rPr>
            </w:pPr>
            <w:r w:rsidRPr="006A219A">
              <w:rPr>
                <w:rFonts w:ascii="Calibri" w:hAnsi="Calibri" w:cs="Calibri"/>
                <w:b/>
                <w:bCs/>
                <w:color w:val="FFFFFF"/>
                <w:sz w:val="18"/>
                <w:szCs w:val="18"/>
                <w:lang w:eastAsia="cs-CZ"/>
              </w:rPr>
              <w:t>Obec</w:t>
            </w:r>
          </w:p>
        </w:tc>
        <w:tc>
          <w:tcPr>
            <w:tcW w:w="849" w:type="dxa"/>
            <w:tcBorders>
              <w:top w:val="nil"/>
              <w:left w:val="nil"/>
              <w:bottom w:val="nil"/>
              <w:right w:val="nil"/>
            </w:tcBorders>
            <w:shd w:val="clear" w:color="000000" w:fill="17375D"/>
            <w:noWrap/>
            <w:vAlign w:val="bottom"/>
            <w:hideMark/>
          </w:tcPr>
          <w:p w:rsidR="006A219A" w:rsidRPr="006A219A" w:rsidRDefault="006A219A" w:rsidP="006A219A">
            <w:pPr>
              <w:suppressAutoHyphens w:val="0"/>
              <w:spacing w:after="0"/>
              <w:jc w:val="center"/>
              <w:rPr>
                <w:rFonts w:ascii="Calibri" w:hAnsi="Calibri" w:cs="Calibri"/>
                <w:b/>
                <w:bCs/>
                <w:color w:val="FFFFFF"/>
                <w:sz w:val="18"/>
                <w:szCs w:val="18"/>
                <w:lang w:eastAsia="cs-CZ"/>
              </w:rPr>
            </w:pPr>
            <w:r w:rsidRPr="006A219A">
              <w:rPr>
                <w:rFonts w:ascii="Calibri" w:hAnsi="Calibri" w:cs="Calibri"/>
                <w:b/>
                <w:bCs/>
                <w:color w:val="FFFFFF"/>
                <w:sz w:val="18"/>
                <w:szCs w:val="18"/>
                <w:lang w:eastAsia="cs-CZ"/>
              </w:rPr>
              <w:t>ORP</w:t>
            </w:r>
          </w:p>
        </w:tc>
        <w:tc>
          <w:tcPr>
            <w:tcW w:w="8083" w:type="dxa"/>
            <w:tcBorders>
              <w:top w:val="nil"/>
              <w:left w:val="nil"/>
              <w:bottom w:val="nil"/>
              <w:right w:val="nil"/>
            </w:tcBorders>
            <w:shd w:val="clear" w:color="000000" w:fill="17375D"/>
            <w:noWrap/>
            <w:vAlign w:val="bottom"/>
            <w:hideMark/>
          </w:tcPr>
          <w:p w:rsidR="006A219A" w:rsidRPr="006A219A" w:rsidRDefault="006A219A" w:rsidP="006A219A">
            <w:pPr>
              <w:suppressAutoHyphens w:val="0"/>
              <w:spacing w:after="0"/>
              <w:jc w:val="center"/>
              <w:rPr>
                <w:rFonts w:ascii="Calibri" w:hAnsi="Calibri" w:cs="Calibri"/>
                <w:b/>
                <w:bCs/>
                <w:color w:val="FFFFFF"/>
                <w:sz w:val="18"/>
                <w:szCs w:val="18"/>
                <w:lang w:eastAsia="cs-CZ"/>
              </w:rPr>
            </w:pPr>
            <w:r w:rsidRPr="006A219A">
              <w:rPr>
                <w:rFonts w:ascii="Calibri" w:hAnsi="Calibri" w:cs="Calibri"/>
                <w:b/>
                <w:bCs/>
                <w:color w:val="FFFFFF"/>
                <w:sz w:val="18"/>
                <w:szCs w:val="18"/>
                <w:lang w:eastAsia="cs-CZ"/>
              </w:rPr>
              <w:t>Stav/dostupnost</w:t>
            </w:r>
          </w:p>
        </w:tc>
      </w:tr>
      <w:tr w:rsidR="006A219A" w:rsidRPr="006A219A" w:rsidTr="00FB558C">
        <w:trPr>
          <w:trHeight w:val="300"/>
        </w:trPr>
        <w:tc>
          <w:tcPr>
            <w:tcW w:w="1274" w:type="dxa"/>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Benátky</w:t>
            </w:r>
          </w:p>
        </w:tc>
        <w:tc>
          <w:tcPr>
            <w:tcW w:w="849" w:type="dxa"/>
            <w:tcBorders>
              <w:top w:val="single" w:sz="4" w:space="0" w:color="auto"/>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single" w:sz="4" w:space="0" w:color="auto"/>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http://www.litomysl.cz/?lang=cz&amp;co=uzemni_planovani&amp;akce=urp_orp_obec&amp;id=1263545513587</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Bohuňovice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http://www.litomysl.cz/?lang=cz&amp;co=uzemni_planovani&amp;akce=urp_orp_obec&amp;id=1264070311525</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Bor u Skutče</w:t>
            </w:r>
          </w:p>
        </w:tc>
        <w:tc>
          <w:tcPr>
            <w:tcW w:w="849"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Chrudim</w:t>
            </w:r>
          </w:p>
        </w:tc>
        <w:tc>
          <w:tcPr>
            <w:tcW w:w="8083"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http://www.chrudim.eu/uzemne-planovaci-dokumentace/bor-u-skutce.html</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Bučina</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http://urad.vysoke-myto.cz/uzemni-plany/7112-uzemni-plan-buina</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Budislav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http://www.litomysl.cz/?lang=cz&amp;co=uzemni_planovani&amp;akce=urp_orp_obec&amp;id=1264415273783</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Cerekvice nad Loučnou</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http://www.litomysl.cz/?lang=cz&amp;co=uzemni_planovani&amp;akce=urp_orp_obec&amp;id=1264754093233</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České Heřmanice</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http://urad.vysoke-myto.cz/uzemni-plany/8763-uzemni-plan-ceske-hermanice-pravni-stav-po-zmene-c1-</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Čistá</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http://www.litomysl.cz/?lang=cz&amp;co=uzemni_planovani&amp;akce=urp_orp_obec&amp;id=1263218836233</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Desná</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http://www.litomysl.cz/?lang=cz&amp;co=uzemni_planovani&amp;akce=urp_orp_obec&amp;id=1264423462690</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Dolní Újezd</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http://www.litomysl.cz/?lang=cz&amp;co=uzemni_planovani&amp;akce=urp_orp_obec&amp;id=1264424364909</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Hluboká</w:t>
            </w:r>
          </w:p>
        </w:tc>
        <w:tc>
          <w:tcPr>
            <w:tcW w:w="849"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Chrudim</w:t>
            </w:r>
          </w:p>
        </w:tc>
        <w:tc>
          <w:tcPr>
            <w:tcW w:w="8083"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 přípravě</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lastRenderedPageBreak/>
              <w:t>Horky</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Nutná aktualizace</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Horní Újezd</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http://www.litomysl.cz/?lang=cz&amp;co=uzemni_planovani&amp;akce=urp_orp_obec&amp;id=1264429177174</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Hrušová</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http://urad.vysoke-myto.cz/uzemni-plany/8804-uzemni-plan-hrusova</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Chmelík</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http://www.litomysl.cz/?lang=cz&amp;co=uzemni_planovani&amp;akce=urp_orp_obec&amp;id=1264429493844</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Chotěnov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http://www.litomysl.cz/?lang=cz&amp;co=uzemni_planovani&amp;akce=urp_orp_obec&amp;id=1264431922095</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Chotovice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http://www.litomysl.cz/?lang=cz&amp;co=uzemni_planovani&amp;akce=urp_orp_obec&amp;id=1264765823936</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Janov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http://www.litomysl.cz/?lang=cz&amp;co=uzemni_planovani&amp;akce=urp_orp_obec&amp;id=1264433393807</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Jarošov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http://www.litomysl.cz/?lang=cz&amp;co=uzemni_planovani&amp;akce=urp_orp_obec&amp;id=1264766102026</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Javorník</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http://urad.vysoke-myto.cz/uzemni-plany/9514-uzemni-plan-obce-javornik</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Leština</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http://urad.vysoke-myto.cz/uzemni-plany/8526-uzemni-plan-letina-pravni-stav-po-zmn-2</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Libecina</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http://urad.vysoke-myto.cz/uzemni-plany/6071-uzemni-plan-libecina</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http://www.litomysl.cz/?lang=cz&amp;co=uzemni_planovani&amp;akce=urp_orp_obec&amp;id=1265039060932</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Lubná</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http://www.litomysl.cz/?lang=cz&amp;co=uzemni_planovani&amp;akce=urp_orp_obec&amp;id=1265371592654</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Makov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http://www.litomysl.cz/?lang=cz&amp;co=uzemni_planovani&amp;akce=urp_orp_obec&amp;id=1265113319488</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Morašice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http://www.litomysl.cz/?lang=cz&amp;co=uzemni_planovani&amp;akce=urp_orp_obec&amp;id=1265372042945</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Němčice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http://www.litomysl.cz/?lang=cz&amp;co=uzemni_planovani&amp;akce=urp_orp_obec&amp;id=1265960823743</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Nová Sídla</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http://www.litomysl.cz/?lang=cz&amp;co=uzemni_planovani&amp;akce=urp_orp_obec&amp;id=1265960823743</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Nová Ves u Jarošova</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http://www.litomysl.cz/?lang=cz&amp;co=uzemni_planovani&amp;akce=urp_orp_obec&amp;id=1265705535430</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Nové Hrady</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http://urad.vysoke-myto.cz/uzemni-plany/7723-uzemni-plan-nove-hrady</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Osík</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http://www.litomysl.cz/?lang=cz&amp;co=uzemni_planovani&amp;akce=urp_orp_obec&amp;id=1263209167327</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C2D69A"/>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Otradov</w:t>
            </w:r>
          </w:p>
        </w:tc>
        <w:tc>
          <w:tcPr>
            <w:tcW w:w="849" w:type="dxa"/>
            <w:tcBorders>
              <w:top w:val="nil"/>
              <w:left w:val="nil"/>
              <w:bottom w:val="single" w:sz="4" w:space="0" w:color="auto"/>
              <w:right w:val="single" w:sz="4" w:space="0" w:color="auto"/>
            </w:tcBorders>
            <w:shd w:val="clear" w:color="000000" w:fill="C2D69A"/>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Hlinsko</w:t>
            </w:r>
          </w:p>
        </w:tc>
        <w:tc>
          <w:tcPr>
            <w:tcW w:w="8083" w:type="dxa"/>
            <w:tcBorders>
              <w:top w:val="nil"/>
              <w:left w:val="nil"/>
              <w:bottom w:val="single" w:sz="4" w:space="0" w:color="auto"/>
              <w:right w:val="single" w:sz="4" w:space="0" w:color="auto"/>
            </w:tcBorders>
            <w:shd w:val="clear" w:color="000000" w:fill="C2D69A"/>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Územní plán v listinné podobě uložen na ORP Hlinsko. Doporučeno vypracování nového územního plánu.</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Perálec</w:t>
            </w:r>
          </w:p>
        </w:tc>
        <w:tc>
          <w:tcPr>
            <w:tcW w:w="849"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Chrudim</w:t>
            </w:r>
          </w:p>
        </w:tc>
        <w:tc>
          <w:tcPr>
            <w:tcW w:w="8083"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 přípravě</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Poříčí u Litomyšle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http://www.litomysl.cz/?lang=cz&amp;co=uzemni_planovani&amp;akce=urp_orp_obec&amp;id=1265707816549</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Proseč</w:t>
            </w:r>
          </w:p>
        </w:tc>
        <w:tc>
          <w:tcPr>
            <w:tcW w:w="849"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Chrudim</w:t>
            </w:r>
          </w:p>
        </w:tc>
        <w:tc>
          <w:tcPr>
            <w:tcW w:w="8083"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http://www.chrudim.eu/uzemne-planovaci-dokumentace/prosec.html</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Příluka</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 přípravě</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Pustina</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http://urad.vysoke-myto.cz/uzemni-plany/3162-uzemni-plan-pustina</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Řídký</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http://www.litomysl.cz/?lang=cz&amp;co=uzemni_planovani&amp;akce=urp_orp_obec&amp;id=1265717343781</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Sebranice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http://www.litomysl.cz/?lang=cz&amp;co=uzemni_planovani&amp;akce=urp_orp_obec&amp;id=1265717861158</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Sedliště</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http://www.litomysl.cz/?lang=cz&amp;co=uzemni_planovani&amp;akce=urp_orp_obec&amp;id=1265961637406</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Sloupnice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http://www.litomysl.cz/?lang=cz&amp;co=uzemni_planovani&amp;akce=urp_orp_obec&amp;id=1266242031735</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Strakov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http://www.litomysl.cz/?lang=cz&amp;co=uzemni_planovani&amp;akce=urp_orp_obec&amp;id=1266309998118</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Suchá Lhota</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http://www.litomysl.cz/?lang=cz&amp;co=uzemni_planovani&amp;akce=urp_orp_obec&amp;id=1266310559359</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Tisová</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http://urad.vysoke-myto.cz/uzemni-plany/6441-uzemni-plan-tisova</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Trstěnice</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http://www.litomysl.cz/?lang=cz&amp;co=uzemni_planovani&amp;akce=urp_orp_obec&amp;id=1266311925136</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Tržek</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http://www.litomysl.cz/?lang=cz&amp;co=uzemni_planovani&amp;akce=urp_orp_obec&amp;id=1266312698514</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Újezdec</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http://www.litomysl.cz/?lang=cz&amp;co=uzemni_planovani&amp;akce=urp_orp_obec&amp;id=1266313160311</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Vidlatá Seč</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http://www.litomysl.cz/?lang=cz&amp;co=uzemni_planovani&amp;akce=urp_orp_obec&amp;id=1266314015999</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Vlčkov</w:t>
            </w:r>
          </w:p>
        </w:tc>
        <w:tc>
          <w:tcPr>
            <w:tcW w:w="849"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Litomyšl</w:t>
            </w:r>
          </w:p>
        </w:tc>
        <w:tc>
          <w:tcPr>
            <w:tcW w:w="8083" w:type="dxa"/>
            <w:tcBorders>
              <w:top w:val="nil"/>
              <w:left w:val="nil"/>
              <w:bottom w:val="single" w:sz="4" w:space="0" w:color="auto"/>
              <w:right w:val="single" w:sz="4" w:space="0" w:color="auto"/>
            </w:tcBorders>
            <w:shd w:val="clear" w:color="000000" w:fill="E6B9B8"/>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 přípravě</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Vračovice-Orlov</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http://urad.vysoke-myto.cz/uzemni-plany/4392-uzemni-plan-vraovice-orlov</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lastRenderedPageBreak/>
              <w:t>Vysoké Mýto</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http://urad.vysoke-myto.cz/uzemni-plany/9283-uzemni-plan-vysoke-myto-pravni-stav-po-zmene-c-1</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Zádolí</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http://urad.vysoke-myto.cz/uzemni-plany/3201-uzemni-plan-zadoli</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Zálší</w:t>
            </w:r>
          </w:p>
        </w:tc>
        <w:tc>
          <w:tcPr>
            <w:tcW w:w="849"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Vysoké Mýto</w:t>
            </w:r>
          </w:p>
        </w:tc>
        <w:tc>
          <w:tcPr>
            <w:tcW w:w="8083" w:type="dxa"/>
            <w:tcBorders>
              <w:top w:val="nil"/>
              <w:left w:val="nil"/>
              <w:bottom w:val="single" w:sz="4" w:space="0" w:color="auto"/>
              <w:right w:val="single" w:sz="4" w:space="0" w:color="auto"/>
            </w:tcBorders>
            <w:shd w:val="clear" w:color="000000" w:fill="FFFF00"/>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http://urad.vysoke-myto.cz/uzemni-plany/9261-uzemni-plan-zalsi-pravni-stav-po-zm-1</w:t>
            </w:r>
          </w:p>
        </w:tc>
      </w:tr>
      <w:tr w:rsidR="006A219A" w:rsidRPr="006A219A" w:rsidTr="00FB558C">
        <w:trPr>
          <w:trHeight w:val="300"/>
        </w:trPr>
        <w:tc>
          <w:tcPr>
            <w:tcW w:w="1274" w:type="dxa"/>
            <w:tcBorders>
              <w:top w:val="nil"/>
              <w:left w:val="single" w:sz="4" w:space="0" w:color="auto"/>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Zderaz</w:t>
            </w:r>
          </w:p>
        </w:tc>
        <w:tc>
          <w:tcPr>
            <w:tcW w:w="849"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Chrudim</w:t>
            </w:r>
          </w:p>
        </w:tc>
        <w:tc>
          <w:tcPr>
            <w:tcW w:w="8083" w:type="dxa"/>
            <w:tcBorders>
              <w:top w:val="nil"/>
              <w:left w:val="nil"/>
              <w:bottom w:val="single" w:sz="4" w:space="0" w:color="auto"/>
              <w:right w:val="single" w:sz="4" w:space="0" w:color="auto"/>
            </w:tcBorders>
            <w:shd w:val="clear" w:color="000000" w:fill="93CDDD"/>
            <w:noWrap/>
            <w:vAlign w:val="center"/>
            <w:hideMark/>
          </w:tcPr>
          <w:p w:rsidR="006A219A" w:rsidRPr="006A219A" w:rsidRDefault="006A219A" w:rsidP="006A219A">
            <w:pPr>
              <w:suppressAutoHyphens w:val="0"/>
              <w:spacing w:after="0"/>
              <w:jc w:val="left"/>
              <w:rPr>
                <w:rFonts w:ascii="Arial" w:hAnsi="Arial" w:cs="Arial"/>
                <w:sz w:val="18"/>
                <w:szCs w:val="18"/>
                <w:lang w:eastAsia="cs-CZ"/>
              </w:rPr>
            </w:pPr>
            <w:r w:rsidRPr="006A219A">
              <w:rPr>
                <w:rFonts w:ascii="Arial" w:hAnsi="Arial" w:cs="Arial"/>
                <w:sz w:val="18"/>
                <w:szCs w:val="18"/>
                <w:lang w:eastAsia="cs-CZ"/>
              </w:rPr>
              <w:t>http://www.chrudim.eu/uzemne-planovaci-dokumentace/zderaz.html</w:t>
            </w:r>
          </w:p>
        </w:tc>
      </w:tr>
    </w:tbl>
    <w:p w:rsidR="006A219A" w:rsidRPr="00B07F8B" w:rsidRDefault="006A219A" w:rsidP="00B07F8B"/>
    <w:p w:rsidR="000F7E1C" w:rsidRDefault="000F7E1C" w:rsidP="009F4D7F">
      <w:pPr>
        <w:pStyle w:val="Nadpis3"/>
      </w:pPr>
      <w:bookmarkStart w:id="36" w:name="_Toc430006510"/>
      <w:r>
        <w:t>Rozvojová území</w:t>
      </w:r>
      <w:bookmarkEnd w:id="36"/>
    </w:p>
    <w:p w:rsidR="00376040" w:rsidRPr="00376040" w:rsidRDefault="00376040" w:rsidP="00376040">
      <w:pPr>
        <w:rPr>
          <w:lang w:eastAsia="cs-CZ"/>
        </w:rPr>
      </w:pPr>
      <w:r w:rsidRPr="00376040">
        <w:rPr>
          <w:lang w:eastAsia="cs-CZ"/>
        </w:rPr>
        <w:t xml:space="preserve">Plochy pro rozvoj má v zásadě každá obec regionu. V jižní části území však tyto účely dokáže ve velké míře saturovat existující zástavba a plochy, protože je tu stále dost nevyužívaných majetků. Výraznější nová zástavba hospodářského účelu a zábor ploch se v jižní části regionu nepředpokládá. Pro </w:t>
      </w:r>
      <w:r w:rsidR="00D00B34">
        <w:rPr>
          <w:lang w:eastAsia="cs-CZ"/>
        </w:rPr>
        <w:t>velké</w:t>
      </w:r>
      <w:r w:rsidRPr="00376040">
        <w:rPr>
          <w:lang w:eastAsia="cs-CZ"/>
        </w:rPr>
        <w:t xml:space="preserve"> provozy zde není dost pracovních sil a dopravní kapacity infrastruktury nebo vodohospodářské zázemí. V těchto menších obcích je ale dostatek zón k obytné výstavbě. Problémem je infrastrukturní příprava. Občanská vybavenost může být řešena ve stávajících nevyužitých kapacitách rekonstrukcemi a zčásti terénní službou. </w:t>
      </w:r>
    </w:p>
    <w:p w:rsidR="00376040" w:rsidRDefault="00376040" w:rsidP="00376040">
      <w:pPr>
        <w:rPr>
          <w:lang w:eastAsia="cs-CZ"/>
        </w:rPr>
      </w:pPr>
      <w:r w:rsidRPr="00376040">
        <w:rPr>
          <w:lang w:eastAsia="cs-CZ"/>
        </w:rPr>
        <w:t xml:space="preserve">V severní části území, kde dominují Vysoké Mýto a Litomyšl je a bude trvalým impulsem tranzitní rychlostní doprava mezi Hradcem Králové a Olomoucí, resp. Brnem. Rychlostní komunikace sem bude po roce 2020 schopná přivést nové pracovní síly, ale stejný efekt platí opačně, Protože např. Pardubice se časově velmi přiblíží. Novou konkurencí se může stát křižovatka mezi Jevíčkem a Moravskou Třebovou (Olomouc vs. Brno), kde je dosud velký útlum. Strategie tedy bude považovat rozvoj do roku 2020 za neutrální s tím, že se změny mezi hospodářským využíváním území vzájemně kompenzují. </w:t>
      </w:r>
    </w:p>
    <w:p w:rsidR="00D00B34" w:rsidRDefault="00D00B34" w:rsidP="00376040">
      <w:pPr>
        <w:rPr>
          <w:lang w:eastAsia="cs-CZ"/>
        </w:rPr>
      </w:pPr>
      <w:r>
        <w:rPr>
          <w:lang w:eastAsia="cs-CZ"/>
        </w:rPr>
        <w:t xml:space="preserve">Obecně lze za rozvojová území považovat zejména katastry malých obcí s nízkou hustotou zalidnění. </w:t>
      </w:r>
      <w:r w:rsidR="00B65565">
        <w:rPr>
          <w:lang w:eastAsia="cs-CZ"/>
        </w:rPr>
        <w:t>Značná koncentrace obcí tohoto typu se nachází na území ohraničeném na jižním okraji městem Proseč, obcemi Lubná a Sebranice a na severu pak Městem Vysoké Mýto. Některé další se pak nacházejí severozápadně od Litomyšle (více viz 1.1.1 Stručný popis území). Některé obce mají opravdu velký prostor k rozvoji.</w:t>
      </w:r>
    </w:p>
    <w:p w:rsidR="00B65565" w:rsidRPr="00376040" w:rsidRDefault="00B65565" w:rsidP="00376040">
      <w:pPr>
        <w:rPr>
          <w:lang w:eastAsia="cs-CZ"/>
        </w:rPr>
      </w:pPr>
      <w:r>
        <w:rPr>
          <w:lang w:eastAsia="cs-CZ"/>
        </w:rPr>
        <w:t>Další typy území jako rekreační nebo památkové zóny jsou naprosto přirozenou součástí regionu i života v něm a nepůsobí žádná omezení.</w:t>
      </w:r>
    </w:p>
    <w:p w:rsidR="00D8262A" w:rsidRDefault="00D8262A" w:rsidP="009F4D7F">
      <w:pPr>
        <w:pStyle w:val="Nadpis3"/>
      </w:pPr>
      <w:bookmarkStart w:id="37" w:name="_Toc430006511"/>
      <w:r>
        <w:lastRenderedPageBreak/>
        <w:t>Potenciál území</w:t>
      </w:r>
      <w:r w:rsidR="00D74784">
        <w:t xml:space="preserve"> - subjekty</w:t>
      </w:r>
      <w:bookmarkEnd w:id="37"/>
    </w:p>
    <w:p w:rsidR="00376040" w:rsidRPr="00376040" w:rsidRDefault="00376040" w:rsidP="00376040">
      <w:pPr>
        <w:rPr>
          <w:lang w:eastAsia="cs-CZ"/>
        </w:rPr>
      </w:pPr>
      <w:r w:rsidRPr="00376040">
        <w:rPr>
          <w:lang w:eastAsia="cs-CZ"/>
        </w:rPr>
        <w:t>Region má štěstí, že dlouhodobá tradice průmyslových</w:t>
      </w:r>
      <w:r w:rsidR="00DA39BB">
        <w:rPr>
          <w:lang w:eastAsia="cs-CZ"/>
        </w:rPr>
        <w:t xml:space="preserve"> a zemědělských</w:t>
      </w:r>
      <w:r w:rsidRPr="00376040">
        <w:rPr>
          <w:lang w:eastAsia="cs-CZ"/>
        </w:rPr>
        <w:t xml:space="preserve"> podniků tvořících nosnou kostru hospodářství, a tím i územních vztahů, pokračuje v založených intencích. Prov</w:t>
      </w:r>
      <w:r w:rsidR="00DA39BB">
        <w:rPr>
          <w:lang w:eastAsia="cs-CZ"/>
        </w:rPr>
        <w:t>ozy tradičních značek Karosa, Ve</w:t>
      </w:r>
      <w:r w:rsidRPr="00376040">
        <w:rPr>
          <w:lang w:eastAsia="cs-CZ"/>
        </w:rPr>
        <w:t xml:space="preserve">rtex, i pod novou subjektivitou udávají profil pracovní síly, charakter investic vlastních i kooperujících partneru a také stanoví kapacitní limity v městské zástavbě. Současná úroveň jejich investic a produkce už nebude zřejmě narůstat nad záměry promítnuté do ÚPD. Proto i pro další průmyslové subjekty existuje ve městech dostatek místa „na zelené louce“ i v nevyužívaných areálech. </w:t>
      </w:r>
    </w:p>
    <w:p w:rsidR="00376040" w:rsidRPr="00376040" w:rsidRDefault="00376040" w:rsidP="00376040">
      <w:pPr>
        <w:rPr>
          <w:lang w:eastAsia="cs-CZ"/>
        </w:rPr>
      </w:pPr>
      <w:r w:rsidRPr="00376040">
        <w:rPr>
          <w:lang w:eastAsia="cs-CZ"/>
        </w:rPr>
        <w:t>Ve venkovské části regionu je potenciál stanoven lesním a zemědělským hospodářstvím a vlastnictvím. V současné evropské prvovýrobě i zpracování není představitelné, že by zde mohla vznikat větší investice nárokujíc</w:t>
      </w:r>
      <w:r w:rsidR="00DA39BB">
        <w:rPr>
          <w:lang w:eastAsia="cs-CZ"/>
        </w:rPr>
        <w:t>í</w:t>
      </w:r>
      <w:r w:rsidRPr="00376040">
        <w:rPr>
          <w:lang w:eastAsia="cs-CZ"/>
        </w:rPr>
        <w:t xml:space="preserve"> nové plochy a měnící vztahy v území. </w:t>
      </w:r>
    </w:p>
    <w:p w:rsidR="00376040" w:rsidRDefault="00376040" w:rsidP="00376040">
      <w:pPr>
        <w:rPr>
          <w:lang w:eastAsia="cs-CZ"/>
        </w:rPr>
      </w:pPr>
      <w:r w:rsidRPr="00376040">
        <w:rPr>
          <w:lang w:eastAsia="cs-CZ"/>
        </w:rPr>
        <w:t>Pro všechny subjekty v regionu bude do roku 2020 vlastně nejvlivnějším územním investorem ŘSD a jeho nakládání při stabilizaci území k výstavbě rychlostní komunikace</w:t>
      </w:r>
      <w:r w:rsidR="00DA39BB">
        <w:rPr>
          <w:lang w:eastAsia="cs-CZ"/>
        </w:rPr>
        <w:t xml:space="preserve"> R35</w:t>
      </w:r>
      <w:r w:rsidRPr="00376040">
        <w:rPr>
          <w:lang w:eastAsia="cs-CZ"/>
        </w:rPr>
        <w:t>. Tyto operace totiž mají pro ostatní podniky i města fa</w:t>
      </w:r>
      <w:r w:rsidR="00040F41">
        <w:rPr>
          <w:lang w:eastAsia="cs-CZ"/>
        </w:rPr>
        <w:t>kticky dlouhodobou setrvačnost.</w:t>
      </w:r>
    </w:p>
    <w:p w:rsidR="00040F41" w:rsidRDefault="00040F41" w:rsidP="00376040">
      <w:pPr>
        <w:rPr>
          <w:lang w:eastAsia="cs-CZ"/>
        </w:rPr>
      </w:pPr>
      <w:r>
        <w:rPr>
          <w:lang w:eastAsia="cs-CZ"/>
        </w:rPr>
        <w:t>V regionu je potenciál spíše k většímu množství menších rozvojových prvků, než k velké investici:</w:t>
      </w:r>
    </w:p>
    <w:p w:rsidR="00040F41" w:rsidRDefault="00040F41" w:rsidP="00A60AC9">
      <w:pPr>
        <w:pStyle w:val="Odstavecseseznamem"/>
        <w:numPr>
          <w:ilvl w:val="0"/>
          <w:numId w:val="51"/>
        </w:numPr>
        <w:rPr>
          <w:lang w:eastAsia="cs-CZ"/>
        </w:rPr>
      </w:pPr>
      <w:r>
        <w:rPr>
          <w:lang w:eastAsia="cs-CZ"/>
        </w:rPr>
        <w:t>Velký potenciál k rozvoji mají bezesporu neziskové organizace a další subjekty poskytující sociální služby.</w:t>
      </w:r>
    </w:p>
    <w:p w:rsidR="00040F41" w:rsidRDefault="00040F41" w:rsidP="00A60AC9">
      <w:pPr>
        <w:pStyle w:val="Odstavecseseznamem"/>
        <w:numPr>
          <w:ilvl w:val="0"/>
          <w:numId w:val="51"/>
        </w:numPr>
        <w:rPr>
          <w:lang w:eastAsia="cs-CZ"/>
        </w:rPr>
      </w:pPr>
      <w:r>
        <w:rPr>
          <w:lang w:eastAsia="cs-CZ"/>
        </w:rPr>
        <w:t>Dále je evidentní snaha spolků a dalších subjektů o nabídku možností pro sladění pracovního a rodinného života (spolky, mateřská a volnočasová centra, školní družiny...).</w:t>
      </w:r>
    </w:p>
    <w:p w:rsidR="00040F41" w:rsidRDefault="00040F41" w:rsidP="00A60AC9">
      <w:pPr>
        <w:pStyle w:val="Odstavecseseznamem"/>
        <w:numPr>
          <w:ilvl w:val="0"/>
          <w:numId w:val="51"/>
        </w:numPr>
        <w:rPr>
          <w:lang w:eastAsia="cs-CZ"/>
        </w:rPr>
      </w:pPr>
      <w:r>
        <w:rPr>
          <w:lang w:eastAsia="cs-CZ"/>
        </w:rPr>
        <w:t>Rozvoj mobilních služeb.</w:t>
      </w:r>
    </w:p>
    <w:p w:rsidR="00040F41" w:rsidRDefault="00040F41" w:rsidP="00A60AC9">
      <w:pPr>
        <w:pStyle w:val="Odstavecseseznamem"/>
        <w:numPr>
          <w:ilvl w:val="0"/>
          <w:numId w:val="51"/>
        </w:numPr>
        <w:rPr>
          <w:lang w:eastAsia="cs-CZ"/>
        </w:rPr>
      </w:pPr>
      <w:r>
        <w:rPr>
          <w:lang w:eastAsia="cs-CZ"/>
        </w:rPr>
        <w:t>Rozvoj sdílených služeb pro obce a další subjekty v regionu.</w:t>
      </w:r>
    </w:p>
    <w:p w:rsidR="00040F41" w:rsidRDefault="00040F41" w:rsidP="00A60AC9">
      <w:pPr>
        <w:pStyle w:val="Odstavecseseznamem"/>
        <w:numPr>
          <w:ilvl w:val="0"/>
          <w:numId w:val="51"/>
        </w:numPr>
        <w:rPr>
          <w:lang w:eastAsia="cs-CZ"/>
        </w:rPr>
      </w:pPr>
      <w:r>
        <w:rPr>
          <w:lang w:eastAsia="cs-CZ"/>
        </w:rPr>
        <w:t>Rozvoj alternativních školských zařízení.</w:t>
      </w:r>
    </w:p>
    <w:p w:rsidR="00040F41" w:rsidRDefault="00040F41" w:rsidP="00A60AC9">
      <w:pPr>
        <w:pStyle w:val="Odstavecseseznamem"/>
        <w:numPr>
          <w:ilvl w:val="0"/>
          <w:numId w:val="51"/>
        </w:numPr>
        <w:rPr>
          <w:lang w:eastAsia="cs-CZ"/>
        </w:rPr>
      </w:pPr>
      <w:r>
        <w:rPr>
          <w:lang w:eastAsia="cs-CZ"/>
        </w:rPr>
        <w:t>Rozšíření produkce a nabídky služeb zemědělských subjektů.</w:t>
      </w:r>
    </w:p>
    <w:p w:rsidR="00040F41" w:rsidRDefault="00040F41" w:rsidP="00A60AC9">
      <w:pPr>
        <w:pStyle w:val="Odstavecseseznamem"/>
        <w:numPr>
          <w:ilvl w:val="0"/>
          <w:numId w:val="51"/>
        </w:numPr>
        <w:rPr>
          <w:lang w:eastAsia="cs-CZ"/>
        </w:rPr>
      </w:pPr>
      <w:r>
        <w:rPr>
          <w:lang w:eastAsia="cs-CZ"/>
        </w:rPr>
        <w:t>Rozšíření výroby stávajících zavedených podnikatelů.</w:t>
      </w:r>
    </w:p>
    <w:p w:rsidR="00040F41" w:rsidRDefault="00040F41" w:rsidP="00A60AC9">
      <w:pPr>
        <w:pStyle w:val="Odstavecseseznamem"/>
        <w:numPr>
          <w:ilvl w:val="0"/>
          <w:numId w:val="51"/>
        </w:numPr>
        <w:rPr>
          <w:lang w:eastAsia="cs-CZ"/>
        </w:rPr>
      </w:pPr>
      <w:r>
        <w:rPr>
          <w:lang w:eastAsia="cs-CZ"/>
        </w:rPr>
        <w:t>Rozvoj služeb v souvislosti se snahou o rozšíření turistického ruchu.</w:t>
      </w:r>
    </w:p>
    <w:p w:rsidR="00040F41" w:rsidRDefault="00040F41" w:rsidP="00A60AC9">
      <w:pPr>
        <w:pStyle w:val="Odstavecseseznamem"/>
        <w:numPr>
          <w:ilvl w:val="0"/>
          <w:numId w:val="51"/>
        </w:numPr>
        <w:rPr>
          <w:lang w:eastAsia="cs-CZ"/>
        </w:rPr>
      </w:pPr>
      <w:r>
        <w:rPr>
          <w:lang w:eastAsia="cs-CZ"/>
        </w:rPr>
        <w:lastRenderedPageBreak/>
        <w:t>...</w:t>
      </w:r>
    </w:p>
    <w:p w:rsidR="00D8262A" w:rsidRDefault="00040F41" w:rsidP="00D8262A">
      <w:r>
        <w:t xml:space="preserve">Co se týče </w:t>
      </w:r>
      <w:r w:rsidR="002565D6">
        <w:t>pracovních sil</w:t>
      </w:r>
      <w:r w:rsidR="00FB558C">
        <w:t>, pro uvedené přípa</w:t>
      </w:r>
      <w:r>
        <w:t>dy rozvoje je ji</w:t>
      </w:r>
      <w:r w:rsidR="002565D6">
        <w:t>ch dostatek a jsou</w:t>
      </w:r>
      <w:r>
        <w:t xml:space="preserve"> dostatečně kvalifikovan</w:t>
      </w:r>
      <w:r w:rsidR="002565D6">
        <w:t>é</w:t>
      </w:r>
      <w:r>
        <w:t>. Problém s nedostatkem pracovní síly (např. v jednom oboru) v důsledku příchodu významného investora se nepředpokládá. I průmyslové zóny ve městech mají poněkud menší ambice.</w:t>
      </w:r>
    </w:p>
    <w:p w:rsidR="00040F41" w:rsidRDefault="00FB558C" w:rsidP="00D8262A">
      <w:r>
        <w:t>Níže uvedená tabulka znáz</w:t>
      </w:r>
      <w:r w:rsidR="00040F41">
        <w:t>orňuje dostupnost pracovní síly v pardubickém kraji, jehož je celé území MAS součástí</w:t>
      </w:r>
      <w:r w:rsidR="00785711">
        <w:t>, a lze tak údaje analogicky přibližně převést do parametrů území. Vzdělanost obyvatelstva je také popsána v kapitole 2.1.1 Obyvatelstvo.</w:t>
      </w:r>
    </w:p>
    <w:p w:rsidR="00785711" w:rsidRPr="00FB558C" w:rsidRDefault="00785711" w:rsidP="00785711">
      <w:pPr>
        <w:spacing w:before="120" w:after="120"/>
        <w:rPr>
          <w:rFonts w:ascii="Calibri" w:hAnsi="Calibri" w:cs="Calibri"/>
          <w:b/>
          <w:szCs w:val="22"/>
        </w:rPr>
      </w:pPr>
      <w:r w:rsidRPr="00FB558C">
        <w:rPr>
          <w:rFonts w:ascii="Calibri" w:hAnsi="Calibri" w:cs="Calibri"/>
          <w:b/>
          <w:szCs w:val="22"/>
        </w:rPr>
        <w:t>Nejčetnější profese uchazečů o zaměstnání v Pardubickém kraji k 31.3.2014</w:t>
      </w:r>
    </w:p>
    <w:tbl>
      <w:tblPr>
        <w:tblW w:w="0" w:type="auto"/>
        <w:tblBorders>
          <w:top w:val="double" w:sz="4" w:space="0" w:color="00000A"/>
          <w:left w:val="double" w:sz="4" w:space="0" w:color="00000A"/>
          <w:bottom w:val="single" w:sz="4" w:space="0" w:color="00000A"/>
          <w:right w:val="single" w:sz="4" w:space="0" w:color="00000A"/>
          <w:insideH w:val="single" w:sz="4" w:space="0" w:color="00000A"/>
          <w:insideV w:val="single" w:sz="4" w:space="0" w:color="00000A"/>
        </w:tblBorders>
        <w:tblCellMar>
          <w:left w:w="107" w:type="dxa"/>
        </w:tblCellMar>
        <w:tblLook w:val="04A0"/>
      </w:tblPr>
      <w:tblGrid>
        <w:gridCol w:w="1383"/>
        <w:gridCol w:w="5812"/>
        <w:gridCol w:w="2017"/>
      </w:tblGrid>
      <w:tr w:rsidR="00785711" w:rsidRPr="00FB558C" w:rsidTr="001E525D">
        <w:trPr>
          <w:trHeight w:val="340"/>
        </w:trPr>
        <w:tc>
          <w:tcPr>
            <w:tcW w:w="1383" w:type="dxa"/>
            <w:tcBorders>
              <w:top w:val="double" w:sz="4" w:space="0" w:color="00000A"/>
              <w:left w:val="double" w:sz="4" w:space="0" w:color="00000A"/>
              <w:bottom w:val="single" w:sz="4" w:space="0" w:color="00000A"/>
              <w:right w:val="single" w:sz="4" w:space="0" w:color="00000A"/>
            </w:tcBorders>
            <w:shd w:val="clear" w:color="auto" w:fill="D9D9D9"/>
            <w:tcMar>
              <w:left w:w="107" w:type="dxa"/>
            </w:tcMar>
            <w:vAlign w:val="center"/>
          </w:tcPr>
          <w:p w:rsidR="00785711" w:rsidRPr="00FB558C" w:rsidRDefault="00785711" w:rsidP="001E525D">
            <w:pPr>
              <w:jc w:val="center"/>
              <w:rPr>
                <w:rFonts w:ascii="Calibri" w:hAnsi="Calibri" w:cs="Arial"/>
                <w:b/>
                <w:bCs/>
                <w:szCs w:val="22"/>
              </w:rPr>
            </w:pPr>
            <w:r w:rsidRPr="00FB558C">
              <w:rPr>
                <w:rFonts w:ascii="Calibri" w:hAnsi="Calibri" w:cs="Arial"/>
                <w:b/>
                <w:bCs/>
                <w:szCs w:val="22"/>
              </w:rPr>
              <w:t>CZ-ISCO</w:t>
            </w:r>
          </w:p>
        </w:tc>
        <w:tc>
          <w:tcPr>
            <w:tcW w:w="5812" w:type="dxa"/>
            <w:tcBorders>
              <w:top w:val="double" w:sz="4" w:space="0" w:color="00000A"/>
              <w:left w:val="single" w:sz="4" w:space="0" w:color="00000A"/>
              <w:bottom w:val="single" w:sz="4" w:space="0" w:color="00000A"/>
              <w:right w:val="single" w:sz="4" w:space="0" w:color="00000A"/>
            </w:tcBorders>
            <w:shd w:val="clear" w:color="auto" w:fill="D9D9D9"/>
            <w:tcMar>
              <w:left w:w="117" w:type="dxa"/>
            </w:tcMar>
            <w:vAlign w:val="center"/>
          </w:tcPr>
          <w:p w:rsidR="00785711" w:rsidRPr="00FB558C" w:rsidRDefault="00785711" w:rsidP="001E525D">
            <w:pPr>
              <w:jc w:val="center"/>
              <w:rPr>
                <w:rFonts w:ascii="Calibri" w:hAnsi="Calibri" w:cs="Arial"/>
                <w:b/>
                <w:bCs/>
                <w:szCs w:val="22"/>
              </w:rPr>
            </w:pPr>
            <w:r w:rsidRPr="00FB558C">
              <w:rPr>
                <w:rFonts w:ascii="Calibri" w:hAnsi="Calibri" w:cs="Arial"/>
                <w:b/>
                <w:bCs/>
                <w:szCs w:val="22"/>
              </w:rPr>
              <w:t>Název profese</w:t>
            </w:r>
          </w:p>
        </w:tc>
        <w:tc>
          <w:tcPr>
            <w:tcW w:w="2017" w:type="dxa"/>
            <w:tcBorders>
              <w:top w:val="double" w:sz="4" w:space="0" w:color="00000A"/>
              <w:left w:val="single" w:sz="4" w:space="0" w:color="00000A"/>
              <w:bottom w:val="single" w:sz="4" w:space="0" w:color="00000A"/>
              <w:right w:val="double" w:sz="4" w:space="0" w:color="00000A"/>
            </w:tcBorders>
            <w:shd w:val="clear" w:color="auto" w:fill="D9D9D9"/>
            <w:tcMar>
              <w:left w:w="117" w:type="dxa"/>
            </w:tcMar>
            <w:vAlign w:val="center"/>
          </w:tcPr>
          <w:p w:rsidR="00785711" w:rsidRPr="00FB558C" w:rsidRDefault="00785711" w:rsidP="001E525D">
            <w:pPr>
              <w:jc w:val="center"/>
              <w:rPr>
                <w:rFonts w:ascii="Calibri" w:hAnsi="Calibri" w:cs="Arial"/>
                <w:b/>
                <w:bCs/>
                <w:szCs w:val="22"/>
              </w:rPr>
            </w:pPr>
            <w:r w:rsidRPr="00FB558C">
              <w:rPr>
                <w:rFonts w:ascii="Calibri" w:hAnsi="Calibri" w:cs="Arial"/>
                <w:b/>
                <w:bCs/>
                <w:szCs w:val="22"/>
              </w:rPr>
              <w:t>Počet uchazečů</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711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Řemeslníci, kvalifikovaní pracovníci hlavní stavební výroby</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2 050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522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Provozovatelé maloobchodních prodejen, prodavači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1 908</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411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Všeobecní administrativní pracovníci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1 689</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821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Montážní dělníci výrobků a zařízení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641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512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Kuchaři (kromě šéfkuchařů), pomocní kuchaři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630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541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Pracovníci v oblasti ochrany a ostrahy</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622</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722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Kováři, nástrojaři a příbuzní pracovníci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574</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832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Řidiči motocyklů a automobilů (kromě nákladních)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567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513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Číšníci, servírky a barmani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548</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833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Řidiči nákladních automobilů, autobusů a tramvají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517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712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Řemeslníci a kvalifikovaní pracovníci při dokončování staveb</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503</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834</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Obsluha pojízdných zařízení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431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311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Technici ve fyzikálních a průmyslových oborech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371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752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Zpracovatelé dřeva, truhláři a příbuzní pracovníci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326</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723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Mechanici a opraváři strojů a zařízení (kromě elektrických)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306</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332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Odborní pracovníci v oblasti pojišťovnictví, obch. zástupci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302</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lastRenderedPageBreak/>
              <w:t>532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Pracovníci osobní péče ve zdravotní a sociální oblasti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290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514</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Kadeřníci, kosmetici a pracovníci v příbuzných oborech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277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753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Výrobci oděvů, výrobků z kůží a kožešin</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263</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721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Slévači, svářeči a příbuzní pracovníci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221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713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Malíři a pracovníci, pracovníci povrchového čištění budov</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209</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432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Úředníci v logistice</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207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751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Výrobci a zpracovatelé potravin a příbuzní pracovníci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202</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422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Pracovníci informačních služeb</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197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741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Montéři, mechanici a opraváři elektrických zařízení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191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334</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Odborní administrativní pracovníci a asistenti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190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611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Zahradníci a pěstitelé</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190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431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Úředníci pro zpracování číselných údajů</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189</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235</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Ostatní specialisté v oblasti výchovy a vzdělávání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140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333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Zprostředkovatelé služeb</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103</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343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Odborní pracovníci v oblasti umění a kultury, šéfkuchaři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left="-108" w:right="774"/>
              <w:jc w:val="right"/>
              <w:rPr>
                <w:rFonts w:ascii="Calibri" w:hAnsi="Calibri"/>
                <w:color w:val="000000"/>
              </w:rPr>
            </w:pPr>
            <w:r w:rsidRPr="00FB558C">
              <w:rPr>
                <w:rFonts w:ascii="Calibri" w:hAnsi="Calibri"/>
                <w:color w:val="000000"/>
              </w:rPr>
              <w:t>92</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263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Specialisté v sociální, církevní a v příbuzných oblastech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left="-108" w:right="774"/>
              <w:jc w:val="right"/>
              <w:rPr>
                <w:rFonts w:ascii="Calibri" w:hAnsi="Calibri"/>
                <w:color w:val="000000"/>
              </w:rPr>
            </w:pPr>
            <w:r w:rsidRPr="00FB558C">
              <w:rPr>
                <w:rFonts w:ascii="Calibri" w:hAnsi="Calibri"/>
                <w:color w:val="000000"/>
              </w:rPr>
              <w:t>91</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Pr>
                <w:rFonts w:ascii="Calibri" w:hAnsi="Calibri"/>
                <w:color w:val="000000"/>
              </w:rPr>
            </w:pPr>
            <w:r w:rsidRPr="00FB558C">
              <w:rPr>
                <w:rFonts w:ascii="Calibri" w:hAnsi="Calibri"/>
                <w:color w:val="000000"/>
              </w:rPr>
              <w:t>441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Ostatní úředníci</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left="-108" w:right="774"/>
              <w:jc w:val="right"/>
              <w:rPr>
                <w:rFonts w:ascii="Calibri" w:hAnsi="Calibri"/>
                <w:color w:val="000000"/>
              </w:rPr>
            </w:pPr>
            <w:r w:rsidRPr="00FB558C">
              <w:rPr>
                <w:rFonts w:ascii="Calibri" w:hAnsi="Calibri"/>
                <w:color w:val="000000"/>
              </w:rPr>
              <w:t>90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D9D9D9"/>
            <w:tcMar>
              <w:left w:w="107" w:type="dxa"/>
            </w:tcMar>
            <w:vAlign w:val="bottom"/>
          </w:tcPr>
          <w:p w:rsidR="00785711" w:rsidRPr="00FB558C" w:rsidRDefault="00785711" w:rsidP="001E525D">
            <w:pPr>
              <w:rPr>
                <w:rFonts w:ascii="Calibri" w:hAnsi="Calibri" w:cs="Calibri"/>
                <w:color w:val="FF0000"/>
              </w:rPr>
            </w:pPr>
          </w:p>
        </w:tc>
        <w:tc>
          <w:tcPr>
            <w:tcW w:w="5812" w:type="dxa"/>
            <w:tcBorders>
              <w:top w:val="single" w:sz="4" w:space="0" w:color="00000A"/>
              <w:left w:val="single" w:sz="4" w:space="0" w:color="00000A"/>
              <w:bottom w:val="single" w:sz="4" w:space="0" w:color="00000A"/>
              <w:right w:val="single" w:sz="4" w:space="0" w:color="00000A"/>
            </w:tcBorders>
            <w:shd w:val="clear" w:color="auto" w:fill="D9D9D9"/>
            <w:tcMar>
              <w:left w:w="117" w:type="dxa"/>
            </w:tcMar>
            <w:vAlign w:val="bottom"/>
          </w:tcPr>
          <w:p w:rsidR="00785711" w:rsidRPr="00FB558C" w:rsidRDefault="00785711" w:rsidP="001E525D">
            <w:pPr>
              <w:rPr>
                <w:rFonts w:ascii="Calibri" w:hAnsi="Calibri" w:cs="Calibri"/>
                <w:color w:val="FF0000"/>
              </w:rPr>
            </w:pPr>
          </w:p>
        </w:tc>
        <w:tc>
          <w:tcPr>
            <w:tcW w:w="2017" w:type="dxa"/>
            <w:tcBorders>
              <w:top w:val="single" w:sz="4" w:space="0" w:color="00000A"/>
              <w:left w:val="single" w:sz="4" w:space="0" w:color="00000A"/>
              <w:bottom w:val="single" w:sz="4" w:space="0" w:color="00000A"/>
              <w:right w:val="double" w:sz="4" w:space="0" w:color="00000A"/>
            </w:tcBorders>
            <w:shd w:val="clear" w:color="auto" w:fill="D9D9D9"/>
            <w:tcMar>
              <w:left w:w="117" w:type="dxa"/>
            </w:tcMar>
            <w:vAlign w:val="bottom"/>
          </w:tcPr>
          <w:p w:rsidR="00785711" w:rsidRPr="00FB558C" w:rsidRDefault="00785711" w:rsidP="001E525D">
            <w:pPr>
              <w:ind w:left="-532" w:right="774"/>
              <w:jc w:val="right"/>
              <w:rPr>
                <w:rFonts w:ascii="Calibri" w:hAnsi="Calibri" w:cs="Calibri"/>
                <w:color w:val="FF0000"/>
              </w:rPr>
            </w:pP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459"/>
              <w:jc w:val="right"/>
              <w:rPr>
                <w:rFonts w:ascii="Calibri" w:hAnsi="Calibri" w:cs="Calibri"/>
              </w:rPr>
            </w:pPr>
            <w:r w:rsidRPr="00FB558C">
              <w:rPr>
                <w:rFonts w:ascii="Calibri" w:hAnsi="Calibri" w:cs="Calibri"/>
              </w:rPr>
              <w:t>9 . . .</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s="Calibri"/>
              </w:rPr>
            </w:pPr>
            <w:r w:rsidRPr="00FB558C">
              <w:rPr>
                <w:rFonts w:ascii="Calibri" w:hAnsi="Calibri" w:cs="Calibri"/>
              </w:rPr>
              <w:t>Pomocní a nekvalifikovaní pracovníci celkem</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left="-532" w:right="774"/>
              <w:jc w:val="right"/>
              <w:rPr>
                <w:rFonts w:ascii="Calibri" w:hAnsi="Calibri" w:cs="Calibri"/>
              </w:rPr>
            </w:pPr>
            <w:r w:rsidRPr="00FB558C">
              <w:rPr>
                <w:rFonts w:ascii="Calibri" w:hAnsi="Calibri" w:cs="Calibri"/>
              </w:rPr>
              <w:t>7 109</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459"/>
              <w:jc w:val="right"/>
              <w:rPr>
                <w:rFonts w:ascii="Calibri" w:hAnsi="Calibri" w:cs="Calibri"/>
              </w:rPr>
            </w:pPr>
            <w:r w:rsidRPr="00FB558C">
              <w:rPr>
                <w:rFonts w:ascii="Calibri" w:hAnsi="Calibri" w:cs="Calibri"/>
              </w:rPr>
              <w:t>Z toho:</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s="Calibri"/>
              </w:rPr>
            </w:pP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left="-532" w:right="774"/>
              <w:jc w:val="right"/>
              <w:rPr>
                <w:rFonts w:ascii="Calibri" w:hAnsi="Calibri" w:cs="Calibri"/>
              </w:rPr>
            </w:pP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911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Uklízeči a pomocníci v domácnostech, kancelářích, hotelích</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810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921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Pomocní pracovníci v zemědělství, lesnictví a rybářství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129</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931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Pomocní pracovníci v oblasti těžby a stavebnictví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400</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932</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Pomocní pracovníci ve výrobě</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1 663</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933</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Pomocní pracovníci v dopravě a skladování</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337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lastRenderedPageBreak/>
              <w:t>941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Pomocní pracovníci při přípravě jídla</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77</w:t>
            </w:r>
          </w:p>
        </w:tc>
      </w:tr>
      <w:tr w:rsidR="00785711" w:rsidRPr="00FB558C" w:rsidTr="001E525D">
        <w:tc>
          <w:tcPr>
            <w:tcW w:w="1383" w:type="dxa"/>
            <w:tcBorders>
              <w:top w:val="single" w:sz="4" w:space="0" w:color="00000A"/>
              <w:left w:val="double" w:sz="4" w:space="0" w:color="00000A"/>
              <w:bottom w:val="sing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961</w:t>
            </w:r>
          </w:p>
        </w:tc>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Pracovníci s odpady</w:t>
            </w:r>
          </w:p>
        </w:tc>
        <w:tc>
          <w:tcPr>
            <w:tcW w:w="2017" w:type="dxa"/>
            <w:tcBorders>
              <w:top w:val="single" w:sz="4" w:space="0" w:color="00000A"/>
              <w:left w:val="single" w:sz="4" w:space="0" w:color="00000A"/>
              <w:bottom w:val="sing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204</w:t>
            </w:r>
          </w:p>
        </w:tc>
      </w:tr>
      <w:tr w:rsidR="00785711" w:rsidRPr="00A80F14" w:rsidTr="001E525D">
        <w:tc>
          <w:tcPr>
            <w:tcW w:w="1383" w:type="dxa"/>
            <w:tcBorders>
              <w:top w:val="single" w:sz="4" w:space="0" w:color="00000A"/>
              <w:left w:val="double" w:sz="4" w:space="0" w:color="00000A"/>
              <w:bottom w:val="double" w:sz="4" w:space="0" w:color="00000A"/>
              <w:right w:val="single" w:sz="4" w:space="0" w:color="00000A"/>
            </w:tcBorders>
            <w:shd w:val="clear" w:color="auto" w:fill="FFFFFF"/>
            <w:tcMar>
              <w:left w:w="107" w:type="dxa"/>
            </w:tcMar>
            <w:vAlign w:val="bottom"/>
          </w:tcPr>
          <w:p w:rsidR="00785711" w:rsidRPr="00FB558C" w:rsidRDefault="00785711" w:rsidP="001E525D">
            <w:pPr>
              <w:ind w:left="-284" w:right="-108" w:firstLine="568"/>
              <w:rPr>
                <w:rFonts w:ascii="Calibri" w:hAnsi="Calibri"/>
                <w:color w:val="000000"/>
              </w:rPr>
            </w:pPr>
            <w:r w:rsidRPr="00FB558C">
              <w:rPr>
                <w:rFonts w:ascii="Calibri" w:hAnsi="Calibri"/>
                <w:color w:val="000000"/>
              </w:rPr>
              <w:t>962</w:t>
            </w:r>
          </w:p>
        </w:tc>
        <w:tc>
          <w:tcPr>
            <w:tcW w:w="5812" w:type="dxa"/>
            <w:tcBorders>
              <w:top w:val="single" w:sz="4" w:space="0" w:color="00000A"/>
              <w:left w:val="single" w:sz="4" w:space="0" w:color="00000A"/>
              <w:bottom w:val="double" w:sz="4" w:space="0" w:color="00000A"/>
              <w:right w:val="single" w:sz="4" w:space="0" w:color="00000A"/>
            </w:tcBorders>
            <w:shd w:val="clear" w:color="auto" w:fill="FFFFFF"/>
            <w:tcMar>
              <w:left w:w="117" w:type="dxa"/>
            </w:tcMar>
            <w:vAlign w:val="bottom"/>
          </w:tcPr>
          <w:p w:rsidR="00785711" w:rsidRPr="00FB558C" w:rsidRDefault="00785711" w:rsidP="001E525D">
            <w:pPr>
              <w:rPr>
                <w:rFonts w:ascii="Calibri" w:hAnsi="Calibri"/>
                <w:color w:val="000000"/>
              </w:rPr>
            </w:pPr>
            <w:r w:rsidRPr="00FB558C">
              <w:rPr>
                <w:rFonts w:ascii="Calibri" w:hAnsi="Calibri"/>
                <w:color w:val="000000"/>
              </w:rPr>
              <w:t>Ostatní pomocní pracovníci</w:t>
            </w:r>
          </w:p>
        </w:tc>
        <w:tc>
          <w:tcPr>
            <w:tcW w:w="2017" w:type="dxa"/>
            <w:tcBorders>
              <w:top w:val="single" w:sz="4" w:space="0" w:color="00000A"/>
              <w:left w:val="single" w:sz="4" w:space="0" w:color="00000A"/>
              <w:bottom w:val="double" w:sz="4" w:space="0" w:color="00000A"/>
              <w:right w:val="double" w:sz="4" w:space="0" w:color="00000A"/>
            </w:tcBorders>
            <w:shd w:val="clear" w:color="auto" w:fill="FFFFFF"/>
            <w:tcMar>
              <w:left w:w="117" w:type="dxa"/>
            </w:tcMar>
            <w:vAlign w:val="bottom"/>
          </w:tcPr>
          <w:p w:rsidR="00785711" w:rsidRPr="00FB558C" w:rsidRDefault="00785711" w:rsidP="001E525D">
            <w:pPr>
              <w:ind w:right="774"/>
              <w:jc w:val="right"/>
              <w:rPr>
                <w:rFonts w:ascii="Calibri" w:hAnsi="Calibri"/>
                <w:color w:val="000000"/>
              </w:rPr>
            </w:pPr>
            <w:r w:rsidRPr="00FB558C">
              <w:rPr>
                <w:rFonts w:ascii="Calibri" w:hAnsi="Calibri"/>
                <w:color w:val="000000"/>
              </w:rPr>
              <w:t>205</w:t>
            </w:r>
          </w:p>
        </w:tc>
      </w:tr>
    </w:tbl>
    <w:p w:rsidR="00785711" w:rsidRDefault="00785711" w:rsidP="00FB558C">
      <w:pPr>
        <w:ind w:left="-142"/>
      </w:pPr>
      <w:r w:rsidRPr="00FB558C">
        <w:t>Zdroj:</w:t>
      </w:r>
      <w:bookmarkStart w:id="38" w:name="__RefHeading__9615_60172751"/>
      <w:bookmarkStart w:id="39" w:name="_GoBack"/>
      <w:bookmarkStart w:id="40" w:name="_Toc384817218"/>
      <w:bookmarkStart w:id="41" w:name="_Toc384816915"/>
      <w:bookmarkEnd w:id="38"/>
      <w:bookmarkEnd w:id="39"/>
      <w:bookmarkEnd w:id="40"/>
      <w:bookmarkEnd w:id="41"/>
      <w:r w:rsidRPr="00FB558C">
        <w:t xml:space="preserve"> Situace na trhu práce v prvním čtvrtletí roku 2014</w:t>
      </w:r>
      <w:r w:rsidR="00FB558C" w:rsidRPr="00FB558C">
        <w:t xml:space="preserve"> (Úřad Práce ČR)</w:t>
      </w:r>
    </w:p>
    <w:p w:rsidR="00785711" w:rsidRPr="00D8262A" w:rsidRDefault="00785711" w:rsidP="00D8262A"/>
    <w:p w:rsidR="00D74784" w:rsidRDefault="00D74784" w:rsidP="009F4D7F">
      <w:pPr>
        <w:pStyle w:val="Nadpis3"/>
      </w:pPr>
      <w:bookmarkStart w:id="42" w:name="_Toc430006512"/>
      <w:r>
        <w:t>Potenciál území - oblastí</w:t>
      </w:r>
      <w:bookmarkEnd w:id="42"/>
    </w:p>
    <w:p w:rsidR="00376040" w:rsidRDefault="00376040" w:rsidP="00376040">
      <w:pPr>
        <w:rPr>
          <w:lang w:eastAsia="cs-CZ"/>
        </w:rPr>
      </w:pPr>
      <w:r w:rsidRPr="00376040">
        <w:rPr>
          <w:lang w:eastAsia="cs-CZ"/>
        </w:rPr>
        <w:t>MAS chápe rozvojový potenciál území v struktuře, která se dosud osvědčuje. Zde není patrný územní defekt s výjimkou kapacity tranzitní dopravy. Naopak územní a krajinné poměry ladí s rozsahem lidských činností, které se zdají konkurenceschopné. Šetrnost, která pozvolný rozvoj doprovází, nese ovoce neformální, neokázalé udržitelnosti kulturní krajiny a komunity životního prostředí sídel. Proto je strategií bez problémů akceptován rozvoj v obcích dle platn</w:t>
      </w:r>
      <w:r w:rsidR="00CF6DBB">
        <w:rPr>
          <w:lang w:eastAsia="cs-CZ"/>
        </w:rPr>
        <w:t>é ÚPD.</w:t>
      </w:r>
    </w:p>
    <w:p w:rsidR="00CF6DBB" w:rsidRDefault="00CF6DBB" w:rsidP="00CF6DBB">
      <w:pPr>
        <w:rPr>
          <w:lang w:eastAsia="cs-CZ"/>
        </w:rPr>
      </w:pPr>
      <w:r>
        <w:rPr>
          <w:lang w:eastAsia="cs-CZ"/>
        </w:rPr>
        <w:t>V regionu je pro významnější podnikatelské počiny prostor zejména v průmyslových zónách měst (bez omezení oboru).</w:t>
      </w:r>
    </w:p>
    <w:p w:rsidR="00CF6DBB" w:rsidRDefault="00CF6DBB" w:rsidP="00CF6DBB">
      <w:pPr>
        <w:rPr>
          <w:lang w:eastAsia="cs-CZ"/>
        </w:rPr>
      </w:pPr>
      <w:r>
        <w:rPr>
          <w:lang w:eastAsia="cs-CZ"/>
        </w:rPr>
        <w:t>Výroba motorových vozidel ve Vysokém Mýtě nabízí prostor pro rozvoj sítě menších subdodavatelských podniků, což je pro výrobu motorových vozidel typické.</w:t>
      </w:r>
    </w:p>
    <w:p w:rsidR="00CF6DBB" w:rsidRDefault="00CF6DBB" w:rsidP="00CF6DBB">
      <w:pPr>
        <w:rPr>
          <w:lang w:eastAsia="cs-CZ"/>
        </w:rPr>
      </w:pPr>
      <w:r>
        <w:rPr>
          <w:lang w:eastAsia="cs-CZ"/>
        </w:rPr>
        <w:t>V celém regionu je pak prostor pro rozvoj některých typů služeb, kterým by mohla pomoci poptávka podpořená turismem, což by napomohlo rozvoji turistické infrastruktury i občanské vybavenosti.</w:t>
      </w:r>
    </w:p>
    <w:p w:rsidR="00CF6DBB" w:rsidRDefault="00CF6DBB" w:rsidP="00CF6DBB">
      <w:pPr>
        <w:rPr>
          <w:lang w:eastAsia="cs-CZ"/>
        </w:rPr>
      </w:pPr>
      <w:r>
        <w:rPr>
          <w:lang w:eastAsia="cs-CZ"/>
        </w:rPr>
        <w:t>Rovněž je prostor pro řadu menších podniků nebo živností z oblasti základní obslužnosti službami nebo v oblasti mobilních služeb.</w:t>
      </w:r>
    </w:p>
    <w:p w:rsidR="00CF6DBB" w:rsidRDefault="00CF6DBB" w:rsidP="00CF6DBB">
      <w:pPr>
        <w:rPr>
          <w:lang w:eastAsia="cs-CZ"/>
        </w:rPr>
      </w:pPr>
      <w:r>
        <w:rPr>
          <w:lang w:eastAsia="cs-CZ"/>
        </w:rPr>
        <w:t>Prostor rovněž existuje v oblasti zemědělství, a to zejména ve zpracování prvovýrobních produktů, prodeje konečných produktů, diverzifikace do jiných oborů nebo agroturistiky.</w:t>
      </w:r>
    </w:p>
    <w:p w:rsidR="00FF7CE8" w:rsidRPr="00376040" w:rsidRDefault="008431B5" w:rsidP="00CF6DBB">
      <w:pPr>
        <w:rPr>
          <w:lang w:eastAsia="cs-CZ"/>
        </w:rPr>
      </w:pPr>
      <w:r>
        <w:rPr>
          <w:lang w:eastAsia="cs-CZ"/>
        </w:rPr>
        <w:t>Ve všech obcích pak existuje velký prostor i pop</w:t>
      </w:r>
      <w:r w:rsidR="002565D6">
        <w:rPr>
          <w:lang w:eastAsia="cs-CZ"/>
        </w:rPr>
        <w:t>t</w:t>
      </w:r>
      <w:r>
        <w:rPr>
          <w:lang w:eastAsia="cs-CZ"/>
        </w:rPr>
        <w:t>ávka v oblasti vybavení obcí veřejnými statky (komunikace, chodníky, prostranství, společenské prostory...) a technickou infrastrukturou (kanalizace, plynofikace, osvětlení, rozhlas...).</w:t>
      </w:r>
    </w:p>
    <w:p w:rsidR="00E22D1A" w:rsidRDefault="00E22D1A" w:rsidP="009F4D7F">
      <w:pPr>
        <w:pStyle w:val="Nadpis3"/>
      </w:pPr>
      <w:bookmarkStart w:id="43" w:name="_Toc430006513"/>
      <w:r>
        <w:lastRenderedPageBreak/>
        <w:t>Využití vlastních prostředků</w:t>
      </w:r>
      <w:bookmarkEnd w:id="43"/>
    </w:p>
    <w:p w:rsidR="00376040" w:rsidRDefault="00376040" w:rsidP="00376040">
      <w:pPr>
        <w:rPr>
          <w:lang w:eastAsia="cs-CZ"/>
        </w:rPr>
      </w:pPr>
      <w:r w:rsidRPr="00376040">
        <w:rPr>
          <w:lang w:eastAsia="cs-CZ"/>
        </w:rPr>
        <w:t>Z předchozího je zřejmé, že obce regionu si nenárokují extrémní výdaje na rozvoj. Také zdejší podniky investují vyrovnaně. Trvalým problémem regionu je a bude nižší hustota osídlení, tedy i nižší daňové příjmy z redistribuce násobené koeficienty pro malé obce. Proto je důležitým analytickým záměrem pro strategii, aby se region, resp. obce nepouštěly do plánů překračujících jejich výdajovou sílu. Tedy, aby investice navazovaly na existující majetky a infrastrukturu a zhodnocovaly méně využité kapacity. Stejně důležité přitom bude zohledňování provozních rozpočtů, neboť ani ekologické či jiné normativy nesmí rozvoj obcí přivést do rozpočtových deficitů a následně neudržitelno</w:t>
      </w:r>
      <w:r w:rsidR="00A726D1">
        <w:rPr>
          <w:lang w:eastAsia="cs-CZ"/>
        </w:rPr>
        <w:t>sti toho, co mělo být rozvojem.</w:t>
      </w:r>
    </w:p>
    <w:p w:rsidR="008A3C83" w:rsidRDefault="008A3C83" w:rsidP="00376040">
      <w:pPr>
        <w:rPr>
          <w:lang w:eastAsia="cs-CZ"/>
        </w:rPr>
      </w:pPr>
      <w:r>
        <w:rPr>
          <w:lang w:eastAsia="cs-CZ"/>
        </w:rPr>
        <w:t>Možnosti obcí znázorňuje následující tabulka. Výkyvy v rozpočtech poukazují zejména na čerpání dotačních prostředků.</w:t>
      </w:r>
    </w:p>
    <w:tbl>
      <w:tblPr>
        <w:tblW w:w="8520" w:type="dxa"/>
        <w:tblInd w:w="55" w:type="dxa"/>
        <w:tblCellMar>
          <w:left w:w="70" w:type="dxa"/>
          <w:right w:w="70" w:type="dxa"/>
        </w:tblCellMar>
        <w:tblLook w:val="04A0"/>
      </w:tblPr>
      <w:tblGrid>
        <w:gridCol w:w="1960"/>
        <w:gridCol w:w="820"/>
        <w:gridCol w:w="820"/>
        <w:gridCol w:w="820"/>
        <w:gridCol w:w="820"/>
        <w:gridCol w:w="820"/>
        <w:gridCol w:w="820"/>
        <w:gridCol w:w="820"/>
        <w:gridCol w:w="820"/>
      </w:tblGrid>
      <w:tr w:rsidR="008A3C83" w:rsidRPr="008A3C83" w:rsidTr="008A3C83">
        <w:trPr>
          <w:trHeight w:val="240"/>
        </w:trPr>
        <w:tc>
          <w:tcPr>
            <w:tcW w:w="1960" w:type="dxa"/>
            <w:vMerge w:val="restart"/>
            <w:tcBorders>
              <w:top w:val="nil"/>
              <w:left w:val="nil"/>
              <w:bottom w:val="nil"/>
              <w:right w:val="nil"/>
            </w:tcBorders>
            <w:shd w:val="clear" w:color="auto" w:fill="auto"/>
            <w:noWrap/>
            <w:vAlign w:val="bottom"/>
            <w:hideMark/>
          </w:tcPr>
          <w:p w:rsidR="008A3C83" w:rsidRPr="008A3C83" w:rsidRDefault="008A3C83" w:rsidP="008A3C83">
            <w:pPr>
              <w:suppressAutoHyphens w:val="0"/>
              <w:spacing w:after="0"/>
              <w:jc w:val="center"/>
              <w:rPr>
                <w:rFonts w:ascii="Calibri" w:hAnsi="Calibri" w:cs="Calibri"/>
                <w:color w:val="000000"/>
                <w:sz w:val="18"/>
                <w:szCs w:val="18"/>
                <w:lang w:eastAsia="cs-CZ"/>
              </w:rPr>
            </w:pPr>
          </w:p>
        </w:tc>
        <w:tc>
          <w:tcPr>
            <w:tcW w:w="1640" w:type="dxa"/>
            <w:gridSpan w:val="2"/>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center"/>
              <w:rPr>
                <w:rFonts w:ascii="Calibri" w:hAnsi="Calibri" w:cs="Calibri"/>
                <w:color w:val="000000"/>
                <w:sz w:val="18"/>
                <w:szCs w:val="18"/>
                <w:lang w:eastAsia="cs-CZ"/>
              </w:rPr>
            </w:pPr>
            <w:r w:rsidRPr="008A3C83">
              <w:rPr>
                <w:rFonts w:ascii="Calibri" w:hAnsi="Calibri" w:cs="Calibri"/>
                <w:color w:val="000000"/>
                <w:sz w:val="18"/>
                <w:szCs w:val="18"/>
                <w:lang w:eastAsia="cs-CZ"/>
              </w:rPr>
              <w:t>2010</w:t>
            </w:r>
          </w:p>
        </w:tc>
        <w:tc>
          <w:tcPr>
            <w:tcW w:w="1640" w:type="dxa"/>
            <w:gridSpan w:val="2"/>
            <w:tcBorders>
              <w:top w:val="nil"/>
              <w:left w:val="nil"/>
              <w:bottom w:val="nil"/>
              <w:right w:val="nil"/>
            </w:tcBorders>
            <w:shd w:val="clear" w:color="000000" w:fill="8DB4E3"/>
            <w:noWrap/>
            <w:vAlign w:val="bottom"/>
            <w:hideMark/>
          </w:tcPr>
          <w:p w:rsidR="008A3C83" w:rsidRPr="008A3C83" w:rsidRDefault="008A3C83" w:rsidP="008A3C83">
            <w:pPr>
              <w:suppressAutoHyphens w:val="0"/>
              <w:spacing w:after="0"/>
              <w:jc w:val="center"/>
              <w:rPr>
                <w:rFonts w:ascii="Calibri" w:hAnsi="Calibri" w:cs="Calibri"/>
                <w:color w:val="000000"/>
                <w:sz w:val="18"/>
                <w:szCs w:val="18"/>
                <w:lang w:eastAsia="cs-CZ"/>
              </w:rPr>
            </w:pPr>
            <w:r w:rsidRPr="008A3C83">
              <w:rPr>
                <w:rFonts w:ascii="Calibri" w:hAnsi="Calibri" w:cs="Calibri"/>
                <w:color w:val="000000"/>
                <w:sz w:val="18"/>
                <w:szCs w:val="18"/>
                <w:lang w:eastAsia="cs-CZ"/>
              </w:rPr>
              <w:t>2011</w:t>
            </w:r>
          </w:p>
        </w:tc>
        <w:tc>
          <w:tcPr>
            <w:tcW w:w="1640" w:type="dxa"/>
            <w:gridSpan w:val="2"/>
            <w:tcBorders>
              <w:top w:val="nil"/>
              <w:left w:val="nil"/>
              <w:bottom w:val="nil"/>
              <w:right w:val="nil"/>
            </w:tcBorders>
            <w:shd w:val="clear" w:color="000000" w:fill="538ED5"/>
            <w:noWrap/>
            <w:vAlign w:val="bottom"/>
            <w:hideMark/>
          </w:tcPr>
          <w:p w:rsidR="008A3C83" w:rsidRPr="008A3C83" w:rsidRDefault="008A3C83" w:rsidP="008A3C83">
            <w:pPr>
              <w:suppressAutoHyphens w:val="0"/>
              <w:spacing w:after="0"/>
              <w:jc w:val="center"/>
              <w:rPr>
                <w:rFonts w:ascii="Calibri" w:hAnsi="Calibri" w:cs="Calibri"/>
                <w:color w:val="000000"/>
                <w:sz w:val="18"/>
                <w:szCs w:val="18"/>
                <w:lang w:eastAsia="cs-CZ"/>
              </w:rPr>
            </w:pPr>
            <w:r w:rsidRPr="008A3C83">
              <w:rPr>
                <w:rFonts w:ascii="Calibri" w:hAnsi="Calibri" w:cs="Calibri"/>
                <w:color w:val="000000"/>
                <w:sz w:val="18"/>
                <w:szCs w:val="18"/>
                <w:lang w:eastAsia="cs-CZ"/>
              </w:rPr>
              <w:t>2012</w:t>
            </w:r>
          </w:p>
        </w:tc>
        <w:tc>
          <w:tcPr>
            <w:tcW w:w="1640" w:type="dxa"/>
            <w:gridSpan w:val="2"/>
            <w:tcBorders>
              <w:top w:val="nil"/>
              <w:left w:val="nil"/>
              <w:bottom w:val="nil"/>
              <w:right w:val="nil"/>
            </w:tcBorders>
            <w:shd w:val="clear" w:color="000000" w:fill="376091"/>
            <w:noWrap/>
            <w:vAlign w:val="bottom"/>
            <w:hideMark/>
          </w:tcPr>
          <w:p w:rsidR="008A3C83" w:rsidRPr="008A3C83" w:rsidRDefault="008A3C83" w:rsidP="008A3C83">
            <w:pPr>
              <w:suppressAutoHyphens w:val="0"/>
              <w:spacing w:after="0"/>
              <w:jc w:val="center"/>
              <w:rPr>
                <w:rFonts w:ascii="Calibri" w:hAnsi="Calibri" w:cs="Calibri"/>
                <w:color w:val="000000"/>
                <w:sz w:val="18"/>
                <w:szCs w:val="18"/>
                <w:lang w:eastAsia="cs-CZ"/>
              </w:rPr>
            </w:pPr>
            <w:r w:rsidRPr="008A3C83">
              <w:rPr>
                <w:rFonts w:ascii="Calibri" w:hAnsi="Calibri" w:cs="Calibri"/>
                <w:color w:val="000000"/>
                <w:sz w:val="18"/>
                <w:szCs w:val="18"/>
                <w:lang w:eastAsia="cs-CZ"/>
              </w:rPr>
              <w:t>2013</w:t>
            </w:r>
          </w:p>
        </w:tc>
      </w:tr>
      <w:tr w:rsidR="008A3C83" w:rsidRPr="008A3C83" w:rsidTr="008A3C83">
        <w:trPr>
          <w:trHeight w:val="240"/>
        </w:trPr>
        <w:tc>
          <w:tcPr>
            <w:tcW w:w="1960" w:type="dxa"/>
            <w:vMerge/>
            <w:tcBorders>
              <w:top w:val="nil"/>
              <w:left w:val="nil"/>
              <w:bottom w:val="nil"/>
              <w:right w:val="nil"/>
            </w:tcBorders>
            <w:vAlign w:val="center"/>
            <w:hideMark/>
          </w:tcPr>
          <w:p w:rsidR="008A3C83" w:rsidRPr="008A3C83" w:rsidRDefault="008A3C83" w:rsidP="008A3C83">
            <w:pPr>
              <w:suppressAutoHyphens w:val="0"/>
              <w:spacing w:after="0"/>
              <w:jc w:val="left"/>
              <w:rPr>
                <w:rFonts w:ascii="Calibri" w:hAnsi="Calibri" w:cs="Calibri"/>
                <w:color w:val="000000"/>
                <w:sz w:val="18"/>
                <w:szCs w:val="18"/>
                <w:lang w:eastAsia="cs-CZ"/>
              </w:rPr>
            </w:pPr>
          </w:p>
        </w:tc>
        <w:tc>
          <w:tcPr>
            <w:tcW w:w="820" w:type="dxa"/>
            <w:tcBorders>
              <w:top w:val="nil"/>
              <w:left w:val="nil"/>
              <w:bottom w:val="nil"/>
              <w:right w:val="nil"/>
            </w:tcBorders>
            <w:shd w:val="clear" w:color="000000" w:fill="D7E4BC"/>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Výdaje</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Benátky</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4.686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2.889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4.473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2.515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4.074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3.848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4.344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4.574</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Bohuňovice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1.649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1.381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1.859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1.988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1.757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1.648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1.907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1.793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Bor u Skutče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1.881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1.336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14.664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17.139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7.811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6.875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2.124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1.945</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Bučina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2.734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2.105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2.699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1.968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2.837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2.173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3.021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4.388</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Budislav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5.120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5.170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6.915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5.478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5.710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6.028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7.009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6.884</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Cerekvice nad Loučnou</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11.006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14.366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17.492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17.433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12.992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9.769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13.124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10.387</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České Heřmanice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8.880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8.336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5.730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5.621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10.161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10.497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7.752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6.056</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Čistá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17.335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20.347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21.012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30.000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15.402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11.101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15.699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11.444</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Desná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3.507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3.272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4.175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2.508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3.328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3.281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5.367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6.810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Dolní Újezd</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35.520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35.656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60.200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60.971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81.285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101.440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39.825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33.702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Hluboká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2.807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2.845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3.316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2.847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2.434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3.197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2.820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Horky</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3.251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2.924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3.400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3.096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1.015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1.539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1.245</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Horní Újezd</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4.776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4.757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4.684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4.654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5.406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5.697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5.352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13.082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Hrušová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4.732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7.992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3.143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3.530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2.113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4.208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4.311</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Chmelík</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2.820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1.794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3.203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2.220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2.996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2.497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5.752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7.406</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Chotěnov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2.150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2.768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1.854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2.022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2.804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2.713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2.148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2.210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Chotovice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1.199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1.491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1.314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1.599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2.077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1.955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5.776</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Janov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16.904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14.090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14.875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15.287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17.885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16.013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16.638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14.512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Jarošov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2.498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2.136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6.757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4.717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4.480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6.637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4.127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4.766</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Javorník</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4.579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3.068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2.668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2.331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2.651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2.551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3.101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1/920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Leština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12.442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10.016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3.779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4.265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3.760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4.650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4.836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3.243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Libecina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2.157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1.886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1.451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2.028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1.506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2.934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2.204</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Litomyšl</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331.140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383.800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306.548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290.601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291.727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274.742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305.362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289.157</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Lubná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11.393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10.552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11.920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12.774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11.972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10.611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14.587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12.195</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Makov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3.868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4.358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4.043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2.932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4.017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4.164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5.179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5.430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Morašice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9.588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9.461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9.309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8.807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8.982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10.032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10.616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8.611</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Němčice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17.738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10.460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11.478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11.889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10.466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10.121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12.853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12.107</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Nová Sídla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2.174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2.036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2.109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2.078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2.802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2.166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2.509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1.649</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Nová Ves u Jarošova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1.226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1.204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1.093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1.218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1.385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1.330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1.061</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Nové Hrady</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21.472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20.289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6.086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3.558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4.198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3.880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5.702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5.572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Osík</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19.626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11.172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10.401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10.753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11.972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12.305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12.821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13.568</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Otradov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2.691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3.556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2.507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2.523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2.676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2.272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3.050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2.723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Perálec</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11.447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2.625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4.428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3.770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4.027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3.994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3.817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3.170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lastRenderedPageBreak/>
              <w:t>Poříčí u Litomyšle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18.034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14.027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13.130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10.925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18.431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20.634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6.325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5.950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Proseč</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40.006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35.893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35.729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33.861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31.826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28.776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41.264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37.653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Příluka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2.419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1.447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2.338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2.354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2.254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2.776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2.308</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Pustina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956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906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930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813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1.183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1.225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1320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Řídký</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922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588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1.177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991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969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448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1.175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781</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Sebranice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10.188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10.300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14.753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11.416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10.462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12.791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16.083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14.701</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Sedliště</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2.196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2.376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1.555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2.158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1.716</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2.734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1.323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Sloupnice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18.747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16.613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25.028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31.031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18.041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15.174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42.604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46.589</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Strakov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4.888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6.273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4.021</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2.570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3.154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3.581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3.976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2.830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Suchá Lhota</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1.407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1.184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1.265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975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1.217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1.354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1.105</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Tisová</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17.896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20.751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8.028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9.254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6.990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6.841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7.692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6.683</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Trstěnice</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22.325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24.960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7.952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7.361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7.893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8.360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10.225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7.289</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Tržek</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1.523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1.173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1.425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1.117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2.765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2.910</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Újezdec</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1.148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1.492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2.005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2.403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1.858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2.598</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Vidlatá Seč</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3.347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2.920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3.520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3.993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3.675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3.129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3.968</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3.462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Vlčkov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1.104</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1.560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970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4.349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4.036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937</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1.282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792</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Vračovice-Orlov</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1.996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1.660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2.057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1.851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1.518</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2.182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1.549</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Vysoké Mýto</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422.183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389.583</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286.489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298.080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205.293</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198.095</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232.515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214.855</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Zádolí</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924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1.005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1.100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1.085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810</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1.359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896</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Zálší</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3.036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2.401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2.986</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2.882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2.939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2.584</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3.942</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2.348</w:t>
            </w:r>
          </w:p>
        </w:tc>
      </w:tr>
      <w:tr w:rsidR="008A3C83" w:rsidRPr="008A3C83" w:rsidTr="008A3C83">
        <w:trPr>
          <w:trHeight w:val="240"/>
        </w:trPr>
        <w:tc>
          <w:tcPr>
            <w:tcW w:w="1960" w:type="dxa"/>
            <w:tcBorders>
              <w:top w:val="nil"/>
              <w:left w:val="nil"/>
              <w:bottom w:val="nil"/>
              <w:right w:val="nil"/>
            </w:tcBorders>
            <w:shd w:val="clear" w:color="000000" w:fill="C5D9F1"/>
            <w:noWrap/>
            <w:vAlign w:val="bottom"/>
            <w:hideMark/>
          </w:tcPr>
          <w:p w:rsidR="008A3C83" w:rsidRPr="008A3C83" w:rsidRDefault="008A3C83" w:rsidP="008A3C83">
            <w:pPr>
              <w:suppressAutoHyphens w:val="0"/>
              <w:spacing w:after="0"/>
              <w:jc w:val="left"/>
              <w:rPr>
                <w:rFonts w:ascii="Calibri" w:hAnsi="Calibri" w:cs="Calibri"/>
                <w:color w:val="000000"/>
                <w:sz w:val="18"/>
                <w:szCs w:val="18"/>
                <w:lang w:eastAsia="cs-CZ"/>
              </w:rPr>
            </w:pPr>
            <w:r w:rsidRPr="008A3C83">
              <w:rPr>
                <w:rFonts w:ascii="Calibri" w:hAnsi="Calibri" w:cs="Calibri"/>
                <w:color w:val="000000"/>
                <w:sz w:val="18"/>
                <w:szCs w:val="18"/>
                <w:lang w:eastAsia="cs-CZ"/>
              </w:rPr>
              <w:t>Zderaz</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3.539</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2.771</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4.000</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2.849</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5.095</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3.222</w:t>
            </w:r>
          </w:p>
        </w:tc>
        <w:tc>
          <w:tcPr>
            <w:tcW w:w="820" w:type="dxa"/>
            <w:tcBorders>
              <w:top w:val="nil"/>
              <w:left w:val="nil"/>
              <w:bottom w:val="nil"/>
              <w:right w:val="nil"/>
            </w:tcBorders>
            <w:shd w:val="clear" w:color="000000" w:fill="EAF1DD"/>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13.517</w:t>
            </w:r>
          </w:p>
        </w:tc>
        <w:tc>
          <w:tcPr>
            <w:tcW w:w="820" w:type="dxa"/>
            <w:tcBorders>
              <w:top w:val="nil"/>
              <w:left w:val="nil"/>
              <w:bottom w:val="nil"/>
              <w:right w:val="nil"/>
            </w:tcBorders>
            <w:shd w:val="clear" w:color="000000" w:fill="F2DDDC"/>
            <w:noWrap/>
            <w:vAlign w:val="bottom"/>
            <w:hideMark/>
          </w:tcPr>
          <w:p w:rsidR="008A3C83" w:rsidRPr="008A3C83" w:rsidRDefault="008A3C83" w:rsidP="008A3C83">
            <w:pPr>
              <w:suppressAutoHyphens w:val="0"/>
              <w:spacing w:after="0"/>
              <w:jc w:val="right"/>
              <w:rPr>
                <w:rFonts w:ascii="Calibri" w:hAnsi="Calibri" w:cs="Calibri"/>
                <w:color w:val="000000"/>
                <w:sz w:val="18"/>
                <w:szCs w:val="18"/>
                <w:lang w:eastAsia="cs-CZ"/>
              </w:rPr>
            </w:pPr>
            <w:r w:rsidRPr="008A3C83">
              <w:rPr>
                <w:rFonts w:ascii="Calibri" w:hAnsi="Calibri" w:cs="Calibri"/>
                <w:color w:val="000000"/>
                <w:sz w:val="18"/>
                <w:szCs w:val="18"/>
                <w:lang w:eastAsia="cs-CZ"/>
              </w:rPr>
              <w:t>16.173</w:t>
            </w:r>
          </w:p>
        </w:tc>
      </w:tr>
    </w:tbl>
    <w:p w:rsidR="00A726D1" w:rsidRDefault="008A3C83" w:rsidP="00376040">
      <w:pPr>
        <w:rPr>
          <w:lang w:eastAsia="cs-CZ"/>
        </w:rPr>
      </w:pPr>
      <w:r>
        <w:rPr>
          <w:lang w:eastAsia="cs-CZ"/>
        </w:rPr>
        <w:t>Zdroj: monitor.statnipokladna.cz</w:t>
      </w:r>
    </w:p>
    <w:p w:rsidR="00BF5FEC" w:rsidRDefault="00BF5FEC" w:rsidP="00376040">
      <w:pPr>
        <w:rPr>
          <w:lang w:eastAsia="cs-CZ"/>
        </w:rPr>
      </w:pPr>
      <w:r>
        <w:rPr>
          <w:lang w:eastAsia="cs-CZ"/>
        </w:rPr>
        <w:t xml:space="preserve">Nezanedbatelný se projevil v minulých letech potenciál komunitní spolupráce, kdy rozpočty řady projektů byly značně sníženy zapojením místních subjektů a obyvatel v území. Zapojené osoby a subjekty mohou i do budoucna přispět formou věcného plnění, poskytnutí techniky nebo materiálu. </w:t>
      </w:r>
    </w:p>
    <w:p w:rsidR="00BF5FEC" w:rsidRPr="00376040" w:rsidRDefault="00BF5FEC" w:rsidP="00376040">
      <w:pPr>
        <w:rPr>
          <w:lang w:eastAsia="cs-CZ"/>
        </w:rPr>
      </w:pPr>
      <w:r>
        <w:rPr>
          <w:lang w:eastAsia="cs-CZ"/>
        </w:rPr>
        <w:t>Tyto zdroje však mohou nalézt své uplatnění jen v technologicky</w:t>
      </w:r>
      <w:r w:rsidR="00785711">
        <w:rPr>
          <w:lang w:eastAsia="cs-CZ"/>
        </w:rPr>
        <w:t xml:space="preserve"> a odborně</w:t>
      </w:r>
      <w:r>
        <w:rPr>
          <w:lang w:eastAsia="cs-CZ"/>
        </w:rPr>
        <w:t xml:space="preserve"> nenáročných projektech.</w:t>
      </w:r>
    </w:p>
    <w:p w:rsidR="00120802" w:rsidRDefault="00120802" w:rsidP="009F4D7F">
      <w:pPr>
        <w:pStyle w:val="Nadpis2"/>
      </w:pPr>
      <w:bookmarkStart w:id="44" w:name="_Toc430006514"/>
      <w:r>
        <w:t>SWOT analýza celková</w:t>
      </w:r>
      <w:bookmarkEnd w:id="44"/>
    </w:p>
    <w:tbl>
      <w:tblPr>
        <w:tblStyle w:val="Mkatabulky"/>
        <w:tblW w:w="0" w:type="auto"/>
        <w:tblLook w:val="04A0"/>
      </w:tblPr>
      <w:tblGrid>
        <w:gridCol w:w="4606"/>
        <w:gridCol w:w="4606"/>
      </w:tblGrid>
      <w:tr w:rsidR="000F7E1C" w:rsidTr="000F7E1C">
        <w:trPr>
          <w:cantSplit/>
        </w:trPr>
        <w:tc>
          <w:tcPr>
            <w:tcW w:w="4606" w:type="dxa"/>
            <w:shd w:val="clear" w:color="auto" w:fill="D6E3BC" w:themeFill="accent3" w:themeFillTint="66"/>
          </w:tcPr>
          <w:p w:rsidR="000F7E1C" w:rsidRPr="000F7E1C" w:rsidRDefault="000F7E1C" w:rsidP="000F7E1C">
            <w:pPr>
              <w:rPr>
                <w:b/>
              </w:rPr>
            </w:pPr>
            <w:r w:rsidRPr="000F7E1C">
              <w:rPr>
                <w:b/>
              </w:rPr>
              <w:t>S „Silné stránky“</w:t>
            </w:r>
          </w:p>
        </w:tc>
        <w:tc>
          <w:tcPr>
            <w:tcW w:w="4606" w:type="dxa"/>
            <w:shd w:val="clear" w:color="auto" w:fill="FBD4B4" w:themeFill="accent6" w:themeFillTint="66"/>
          </w:tcPr>
          <w:p w:rsidR="000F7E1C" w:rsidRPr="000F7E1C" w:rsidRDefault="000F7E1C" w:rsidP="000F7E1C">
            <w:pPr>
              <w:rPr>
                <w:b/>
              </w:rPr>
            </w:pPr>
            <w:r w:rsidRPr="000F7E1C">
              <w:rPr>
                <w:b/>
              </w:rPr>
              <w:t>W „Slabé stránky“</w:t>
            </w:r>
          </w:p>
        </w:tc>
      </w:tr>
      <w:tr w:rsidR="000F7E1C" w:rsidTr="000F7E1C">
        <w:trPr>
          <w:cantSplit/>
          <w:trHeight w:val="2309"/>
        </w:trPr>
        <w:tc>
          <w:tcPr>
            <w:tcW w:w="4606" w:type="dxa"/>
            <w:shd w:val="clear" w:color="auto" w:fill="EAF1DD" w:themeFill="accent3" w:themeFillTint="33"/>
          </w:tcPr>
          <w:p w:rsidR="0016054F" w:rsidRPr="00497920" w:rsidRDefault="0016054F" w:rsidP="00A60AC9">
            <w:pPr>
              <w:pStyle w:val="Odstavecseseznamem"/>
              <w:numPr>
                <w:ilvl w:val="0"/>
                <w:numId w:val="50"/>
              </w:numPr>
              <w:spacing w:after="0"/>
              <w:rPr>
                <w:sz w:val="20"/>
                <w:szCs w:val="20"/>
              </w:rPr>
            </w:pPr>
            <w:r w:rsidRPr="00497920">
              <w:rPr>
                <w:sz w:val="20"/>
                <w:szCs w:val="20"/>
              </w:rPr>
              <w:lastRenderedPageBreak/>
              <w:t>Relativně dobrý stav životního prostředí a ekologické chování obyvatel.</w:t>
            </w:r>
          </w:p>
          <w:p w:rsidR="0016054F" w:rsidRPr="00497920" w:rsidRDefault="0016054F" w:rsidP="00A60AC9">
            <w:pPr>
              <w:pStyle w:val="Odstavecseseznamem"/>
              <w:numPr>
                <w:ilvl w:val="0"/>
                <w:numId w:val="50"/>
              </w:numPr>
              <w:spacing w:after="0"/>
              <w:rPr>
                <w:sz w:val="20"/>
                <w:szCs w:val="20"/>
              </w:rPr>
            </w:pPr>
            <w:r w:rsidRPr="00497920">
              <w:rPr>
                <w:sz w:val="20"/>
                <w:szCs w:val="20"/>
              </w:rPr>
              <w:t>Propracovaná vzdělávací infrastruktura.</w:t>
            </w:r>
          </w:p>
          <w:p w:rsidR="0016054F" w:rsidRPr="00497920" w:rsidRDefault="0016054F" w:rsidP="00A60AC9">
            <w:pPr>
              <w:pStyle w:val="Odstavecseseznamem"/>
              <w:numPr>
                <w:ilvl w:val="0"/>
                <w:numId w:val="50"/>
              </w:numPr>
              <w:spacing w:after="0"/>
              <w:rPr>
                <w:sz w:val="20"/>
                <w:szCs w:val="20"/>
              </w:rPr>
            </w:pPr>
            <w:r w:rsidRPr="00497920">
              <w:rPr>
                <w:sz w:val="20"/>
                <w:szCs w:val="20"/>
              </w:rPr>
              <w:t>Dostatečné hustá silniční síť.</w:t>
            </w:r>
          </w:p>
          <w:p w:rsidR="0016054F" w:rsidRPr="00497920" w:rsidRDefault="0016054F" w:rsidP="00A60AC9">
            <w:pPr>
              <w:pStyle w:val="Odstavecseseznamem"/>
              <w:numPr>
                <w:ilvl w:val="0"/>
                <w:numId w:val="50"/>
              </w:numPr>
              <w:spacing w:after="0"/>
              <w:rPr>
                <w:sz w:val="20"/>
                <w:szCs w:val="20"/>
              </w:rPr>
            </w:pPr>
            <w:r w:rsidRPr="00497920">
              <w:rPr>
                <w:sz w:val="20"/>
                <w:szCs w:val="20"/>
              </w:rPr>
              <w:t>Komunitní přístup a podpora ze strany obcí.</w:t>
            </w:r>
          </w:p>
          <w:p w:rsidR="0016054F" w:rsidRPr="00497920" w:rsidRDefault="0016054F" w:rsidP="00A60AC9">
            <w:pPr>
              <w:pStyle w:val="Odstavecseseznamem"/>
              <w:numPr>
                <w:ilvl w:val="0"/>
                <w:numId w:val="50"/>
              </w:numPr>
              <w:spacing w:after="0"/>
              <w:rPr>
                <w:sz w:val="20"/>
                <w:szCs w:val="20"/>
              </w:rPr>
            </w:pPr>
            <w:r w:rsidRPr="00497920">
              <w:rPr>
                <w:sz w:val="20"/>
                <w:szCs w:val="20"/>
              </w:rPr>
              <w:t>Komunitní život, aktivita sportovních i jiných spolků.</w:t>
            </w:r>
          </w:p>
          <w:p w:rsidR="0016054F" w:rsidRPr="00497920" w:rsidRDefault="0016054F" w:rsidP="00A60AC9">
            <w:pPr>
              <w:pStyle w:val="Odstavecseseznamem"/>
              <w:numPr>
                <w:ilvl w:val="0"/>
                <w:numId w:val="50"/>
              </w:numPr>
              <w:spacing w:after="0"/>
              <w:rPr>
                <w:sz w:val="20"/>
                <w:szCs w:val="20"/>
              </w:rPr>
            </w:pPr>
            <w:r w:rsidRPr="00497920">
              <w:rPr>
                <w:sz w:val="20"/>
                <w:szCs w:val="20"/>
              </w:rPr>
              <w:t>Dobrá úroveň zdravotnických a sociálních služeb.</w:t>
            </w:r>
          </w:p>
          <w:p w:rsidR="0016054F" w:rsidRPr="00497920" w:rsidRDefault="0016054F" w:rsidP="00A60AC9">
            <w:pPr>
              <w:pStyle w:val="Odstavecseseznamem"/>
              <w:numPr>
                <w:ilvl w:val="0"/>
                <w:numId w:val="50"/>
              </w:numPr>
              <w:spacing w:after="0"/>
              <w:rPr>
                <w:sz w:val="20"/>
                <w:szCs w:val="20"/>
              </w:rPr>
            </w:pPr>
            <w:r w:rsidRPr="00497920">
              <w:rPr>
                <w:sz w:val="20"/>
                <w:szCs w:val="20"/>
              </w:rPr>
              <w:t>Význam kulturních památek a přírodních lokalit.</w:t>
            </w:r>
          </w:p>
          <w:p w:rsidR="0016054F" w:rsidRPr="00497920" w:rsidRDefault="0016054F" w:rsidP="00A60AC9">
            <w:pPr>
              <w:pStyle w:val="Odstavecseseznamem"/>
              <w:numPr>
                <w:ilvl w:val="0"/>
                <w:numId w:val="50"/>
              </w:numPr>
              <w:spacing w:after="0"/>
              <w:rPr>
                <w:sz w:val="20"/>
                <w:szCs w:val="20"/>
              </w:rPr>
            </w:pPr>
            <w:r w:rsidRPr="00497920">
              <w:rPr>
                <w:sz w:val="20"/>
                <w:szCs w:val="20"/>
              </w:rPr>
              <w:t>Existence stabilních zaměstnavatelů, relativně nízká nezaměstnanost.</w:t>
            </w:r>
          </w:p>
          <w:p w:rsidR="000F7E1C" w:rsidRDefault="0016054F" w:rsidP="00A60AC9">
            <w:pPr>
              <w:pStyle w:val="Odstavecseseznamem"/>
              <w:numPr>
                <w:ilvl w:val="0"/>
                <w:numId w:val="50"/>
              </w:numPr>
              <w:spacing w:after="0"/>
            </w:pPr>
            <w:r w:rsidRPr="00497920">
              <w:rPr>
                <w:sz w:val="20"/>
                <w:szCs w:val="20"/>
              </w:rPr>
              <w:t>Dobré hospodaření obcí (nízká zadluženost).</w:t>
            </w:r>
          </w:p>
        </w:tc>
        <w:tc>
          <w:tcPr>
            <w:tcW w:w="4606" w:type="dxa"/>
            <w:shd w:val="clear" w:color="auto" w:fill="FDE9D9" w:themeFill="accent6" w:themeFillTint="33"/>
          </w:tcPr>
          <w:p w:rsidR="0016054F" w:rsidRPr="00497920" w:rsidRDefault="0016054F" w:rsidP="00A60AC9">
            <w:pPr>
              <w:pStyle w:val="Odstavecseseznamem"/>
              <w:numPr>
                <w:ilvl w:val="0"/>
                <w:numId w:val="50"/>
              </w:numPr>
              <w:spacing w:after="0"/>
              <w:rPr>
                <w:sz w:val="20"/>
                <w:szCs w:val="20"/>
              </w:rPr>
            </w:pPr>
            <w:r w:rsidRPr="00497920">
              <w:rPr>
                <w:sz w:val="20"/>
                <w:szCs w:val="20"/>
              </w:rPr>
              <w:t>Slabá infrastruktura pro ukládání odpadů.</w:t>
            </w:r>
          </w:p>
          <w:p w:rsidR="0016054F" w:rsidRPr="00497920" w:rsidRDefault="0016054F" w:rsidP="00A60AC9">
            <w:pPr>
              <w:pStyle w:val="Odstavecseseznamem"/>
              <w:numPr>
                <w:ilvl w:val="0"/>
                <w:numId w:val="50"/>
              </w:numPr>
              <w:spacing w:after="0"/>
              <w:rPr>
                <w:sz w:val="20"/>
                <w:szCs w:val="20"/>
              </w:rPr>
            </w:pPr>
            <w:r w:rsidRPr="00497920">
              <w:rPr>
                <w:sz w:val="20"/>
                <w:szCs w:val="20"/>
              </w:rPr>
              <w:t>Závislost subjektů v obcích na obecním rozpočtu.</w:t>
            </w:r>
          </w:p>
          <w:p w:rsidR="0016054F" w:rsidRPr="00497920" w:rsidRDefault="0016054F" w:rsidP="00A60AC9">
            <w:pPr>
              <w:pStyle w:val="Odstavecseseznamem"/>
              <w:numPr>
                <w:ilvl w:val="0"/>
                <w:numId w:val="50"/>
              </w:numPr>
              <w:spacing w:after="0"/>
              <w:rPr>
                <w:sz w:val="20"/>
                <w:szCs w:val="20"/>
              </w:rPr>
            </w:pPr>
            <w:r w:rsidRPr="00497920">
              <w:rPr>
                <w:sz w:val="20"/>
                <w:szCs w:val="20"/>
              </w:rPr>
              <w:t>Nízká úroveň některých typů technické infrastruktury.</w:t>
            </w:r>
          </w:p>
          <w:p w:rsidR="0016054F" w:rsidRPr="00497920" w:rsidRDefault="0016054F" w:rsidP="00A60AC9">
            <w:pPr>
              <w:pStyle w:val="Odstavecseseznamem"/>
              <w:numPr>
                <w:ilvl w:val="0"/>
                <w:numId w:val="50"/>
              </w:numPr>
              <w:spacing w:after="0"/>
              <w:rPr>
                <w:sz w:val="20"/>
                <w:szCs w:val="20"/>
              </w:rPr>
            </w:pPr>
            <w:r w:rsidRPr="00497920">
              <w:rPr>
                <w:sz w:val="20"/>
                <w:szCs w:val="20"/>
              </w:rPr>
              <w:t>Nízká kupní síla malých obcí – poptávka.</w:t>
            </w:r>
          </w:p>
          <w:p w:rsidR="0016054F" w:rsidRPr="00497920" w:rsidRDefault="0016054F" w:rsidP="00A60AC9">
            <w:pPr>
              <w:pStyle w:val="Odstavecseseznamem"/>
              <w:numPr>
                <w:ilvl w:val="0"/>
                <w:numId w:val="50"/>
              </w:numPr>
              <w:spacing w:after="0"/>
              <w:rPr>
                <w:sz w:val="20"/>
                <w:szCs w:val="20"/>
              </w:rPr>
            </w:pPr>
            <w:r w:rsidRPr="00497920">
              <w:rPr>
                <w:sz w:val="20"/>
                <w:szCs w:val="20"/>
              </w:rPr>
              <w:t>Stárnutí populace a odliv mladých lidí.</w:t>
            </w:r>
          </w:p>
          <w:p w:rsidR="0016054F" w:rsidRPr="00497920" w:rsidRDefault="0016054F" w:rsidP="00A60AC9">
            <w:pPr>
              <w:pStyle w:val="Odstavecseseznamem"/>
              <w:numPr>
                <w:ilvl w:val="0"/>
                <w:numId w:val="50"/>
              </w:numPr>
              <w:spacing w:after="0"/>
              <w:rPr>
                <w:sz w:val="20"/>
                <w:szCs w:val="20"/>
              </w:rPr>
            </w:pPr>
            <w:r w:rsidRPr="00497920">
              <w:rPr>
                <w:sz w:val="20"/>
                <w:szCs w:val="20"/>
              </w:rPr>
              <w:t>Rostoucí závislost na sociálních službách a sociálním podnikání.</w:t>
            </w:r>
          </w:p>
          <w:p w:rsidR="0016054F" w:rsidRPr="00497920" w:rsidRDefault="0016054F" w:rsidP="00A60AC9">
            <w:pPr>
              <w:pStyle w:val="Odstavecseseznamem"/>
              <w:numPr>
                <w:ilvl w:val="0"/>
                <w:numId w:val="50"/>
              </w:numPr>
              <w:spacing w:after="0"/>
              <w:rPr>
                <w:sz w:val="20"/>
                <w:szCs w:val="20"/>
              </w:rPr>
            </w:pPr>
            <w:r w:rsidRPr="00497920">
              <w:rPr>
                <w:sz w:val="20"/>
                <w:szCs w:val="20"/>
              </w:rPr>
              <w:t>Financování a propagace památek.</w:t>
            </w:r>
          </w:p>
          <w:p w:rsidR="0016054F" w:rsidRPr="00497920" w:rsidRDefault="0016054F" w:rsidP="00A60AC9">
            <w:pPr>
              <w:pStyle w:val="Odstavecseseznamem"/>
              <w:numPr>
                <w:ilvl w:val="0"/>
                <w:numId w:val="50"/>
              </w:numPr>
              <w:spacing w:after="0"/>
              <w:rPr>
                <w:sz w:val="20"/>
                <w:szCs w:val="20"/>
              </w:rPr>
            </w:pPr>
            <w:r w:rsidRPr="00497920">
              <w:rPr>
                <w:sz w:val="20"/>
                <w:szCs w:val="20"/>
              </w:rPr>
              <w:t>Vlastnosti dostupné pracovní síly nekoresponduje s poptávkou.</w:t>
            </w:r>
          </w:p>
          <w:p w:rsidR="0016054F" w:rsidRPr="00497920" w:rsidRDefault="0016054F" w:rsidP="00A60AC9">
            <w:pPr>
              <w:pStyle w:val="Odstavecseseznamem"/>
              <w:numPr>
                <w:ilvl w:val="0"/>
                <w:numId w:val="50"/>
              </w:numPr>
              <w:spacing w:after="0"/>
              <w:rPr>
                <w:sz w:val="20"/>
                <w:szCs w:val="20"/>
              </w:rPr>
            </w:pPr>
            <w:r w:rsidRPr="00497920">
              <w:rPr>
                <w:sz w:val="20"/>
                <w:szCs w:val="20"/>
              </w:rPr>
              <w:t>Administrativní náročnost kladená subjekty v souvislosti s řízením projektem a financováním.</w:t>
            </w:r>
          </w:p>
          <w:p w:rsidR="0016054F" w:rsidRPr="00497920" w:rsidRDefault="00497920" w:rsidP="00A60AC9">
            <w:pPr>
              <w:pStyle w:val="Odstavecseseznamem"/>
              <w:numPr>
                <w:ilvl w:val="0"/>
                <w:numId w:val="50"/>
              </w:numPr>
              <w:spacing w:after="0"/>
              <w:rPr>
                <w:sz w:val="20"/>
                <w:szCs w:val="20"/>
              </w:rPr>
            </w:pPr>
            <w:r>
              <w:rPr>
                <w:sz w:val="20"/>
                <w:szCs w:val="20"/>
              </w:rPr>
              <w:t>Vysoký podíl prvovýroby na zemědělské</w:t>
            </w:r>
            <w:r w:rsidR="0016054F" w:rsidRPr="00497920">
              <w:rPr>
                <w:sz w:val="20"/>
                <w:szCs w:val="20"/>
              </w:rPr>
              <w:t xml:space="preserve"> produkci.</w:t>
            </w:r>
          </w:p>
          <w:p w:rsidR="000F7E1C" w:rsidRDefault="0016054F" w:rsidP="00A60AC9">
            <w:pPr>
              <w:pStyle w:val="Odstavecseseznamem"/>
              <w:numPr>
                <w:ilvl w:val="0"/>
                <w:numId w:val="50"/>
              </w:numPr>
              <w:spacing w:after="0"/>
            </w:pPr>
            <w:r w:rsidRPr="00497920">
              <w:rPr>
                <w:sz w:val="20"/>
                <w:szCs w:val="20"/>
              </w:rPr>
              <w:t>Nízká úroveň turistické infrastruktura a informovanosti.</w:t>
            </w:r>
            <w:r>
              <w:t xml:space="preserve"> </w:t>
            </w:r>
          </w:p>
        </w:tc>
      </w:tr>
      <w:tr w:rsidR="000F7E1C" w:rsidTr="000F7E1C">
        <w:trPr>
          <w:cantSplit/>
        </w:trPr>
        <w:tc>
          <w:tcPr>
            <w:tcW w:w="4606" w:type="dxa"/>
            <w:shd w:val="clear" w:color="auto" w:fill="B8CCE4" w:themeFill="accent1" w:themeFillTint="66"/>
          </w:tcPr>
          <w:p w:rsidR="000F7E1C" w:rsidRPr="000F7E1C" w:rsidRDefault="000F7E1C" w:rsidP="000F7E1C">
            <w:pPr>
              <w:rPr>
                <w:b/>
              </w:rPr>
            </w:pPr>
            <w:r w:rsidRPr="000F7E1C">
              <w:rPr>
                <w:b/>
              </w:rPr>
              <w:t>O „Příležitosti“</w:t>
            </w:r>
          </w:p>
        </w:tc>
        <w:tc>
          <w:tcPr>
            <w:tcW w:w="4606" w:type="dxa"/>
            <w:shd w:val="clear" w:color="auto" w:fill="E5B8B7" w:themeFill="accent2" w:themeFillTint="66"/>
          </w:tcPr>
          <w:p w:rsidR="000F7E1C" w:rsidRPr="000F7E1C" w:rsidRDefault="000F7E1C" w:rsidP="000F7E1C">
            <w:pPr>
              <w:rPr>
                <w:b/>
              </w:rPr>
            </w:pPr>
            <w:r w:rsidRPr="000F7E1C">
              <w:rPr>
                <w:b/>
              </w:rPr>
              <w:t>T „Hrozby“</w:t>
            </w:r>
          </w:p>
        </w:tc>
      </w:tr>
      <w:tr w:rsidR="000F7E1C" w:rsidTr="000F7E1C">
        <w:trPr>
          <w:cantSplit/>
          <w:trHeight w:val="2829"/>
        </w:trPr>
        <w:tc>
          <w:tcPr>
            <w:tcW w:w="4606" w:type="dxa"/>
            <w:shd w:val="clear" w:color="auto" w:fill="DBE5F1" w:themeFill="accent1" w:themeFillTint="33"/>
          </w:tcPr>
          <w:p w:rsidR="0016054F" w:rsidRPr="00497920" w:rsidRDefault="0016054F" w:rsidP="00A60AC9">
            <w:pPr>
              <w:pStyle w:val="Odstavecseseznamem"/>
              <w:numPr>
                <w:ilvl w:val="0"/>
                <w:numId w:val="50"/>
              </w:numPr>
              <w:spacing w:after="0"/>
              <w:rPr>
                <w:sz w:val="20"/>
                <w:szCs w:val="20"/>
              </w:rPr>
            </w:pPr>
            <w:r w:rsidRPr="00497920">
              <w:rPr>
                <w:sz w:val="20"/>
                <w:szCs w:val="20"/>
              </w:rPr>
              <w:lastRenderedPageBreak/>
              <w:t xml:space="preserve">Možnost ekonomického využití odpadkového hospodářství. </w:t>
            </w:r>
          </w:p>
          <w:p w:rsidR="0016054F" w:rsidRPr="00497920" w:rsidRDefault="0016054F" w:rsidP="00A60AC9">
            <w:pPr>
              <w:pStyle w:val="Odstavecseseznamem"/>
              <w:numPr>
                <w:ilvl w:val="0"/>
                <w:numId w:val="50"/>
              </w:numPr>
              <w:spacing w:after="0"/>
              <w:rPr>
                <w:sz w:val="20"/>
                <w:szCs w:val="20"/>
              </w:rPr>
            </w:pPr>
            <w:r w:rsidRPr="00497920">
              <w:rPr>
                <w:sz w:val="20"/>
                <w:szCs w:val="20"/>
              </w:rPr>
              <w:t>Zvyšování úrovně spolupráce a počtu společných projektů regionálních aktérů.</w:t>
            </w:r>
          </w:p>
          <w:p w:rsidR="0016054F" w:rsidRPr="00497920" w:rsidRDefault="0016054F" w:rsidP="00A60AC9">
            <w:pPr>
              <w:pStyle w:val="Odstavecseseznamem"/>
              <w:numPr>
                <w:ilvl w:val="0"/>
                <w:numId w:val="50"/>
              </w:numPr>
              <w:spacing w:after="0"/>
              <w:rPr>
                <w:sz w:val="20"/>
                <w:szCs w:val="20"/>
              </w:rPr>
            </w:pPr>
            <w:r w:rsidRPr="00497920">
              <w:rPr>
                <w:sz w:val="20"/>
                <w:szCs w:val="20"/>
              </w:rPr>
              <w:t>Případné dotační prostředky na eliminaci slabých stránek a hrozeb.</w:t>
            </w:r>
          </w:p>
          <w:p w:rsidR="0016054F" w:rsidRPr="00497920" w:rsidRDefault="0016054F" w:rsidP="00A60AC9">
            <w:pPr>
              <w:pStyle w:val="Odstavecseseznamem"/>
              <w:numPr>
                <w:ilvl w:val="0"/>
                <w:numId w:val="50"/>
              </w:numPr>
              <w:spacing w:after="0"/>
              <w:rPr>
                <w:sz w:val="20"/>
                <w:szCs w:val="20"/>
              </w:rPr>
            </w:pPr>
            <w:r w:rsidRPr="00497920">
              <w:rPr>
                <w:sz w:val="20"/>
                <w:szCs w:val="20"/>
              </w:rPr>
              <w:t>Alternativní</w:t>
            </w:r>
            <w:r w:rsidR="00FB558C">
              <w:rPr>
                <w:sz w:val="20"/>
                <w:szCs w:val="20"/>
              </w:rPr>
              <w:t xml:space="preserve"> formy dopravy v regionu (cyklo</w:t>
            </w:r>
            <w:r w:rsidRPr="00497920">
              <w:rPr>
                <w:sz w:val="20"/>
                <w:szCs w:val="20"/>
              </w:rPr>
              <w:t>doprava, senior doprava,...).</w:t>
            </w:r>
          </w:p>
          <w:p w:rsidR="0016054F" w:rsidRPr="00497920" w:rsidRDefault="0016054F" w:rsidP="00A60AC9">
            <w:pPr>
              <w:pStyle w:val="Odstavecseseznamem"/>
              <w:numPr>
                <w:ilvl w:val="0"/>
                <w:numId w:val="50"/>
              </w:numPr>
              <w:spacing w:after="0"/>
              <w:rPr>
                <w:sz w:val="20"/>
                <w:szCs w:val="20"/>
              </w:rPr>
            </w:pPr>
            <w:r w:rsidRPr="00497920">
              <w:rPr>
                <w:sz w:val="20"/>
                <w:szCs w:val="20"/>
              </w:rPr>
              <w:t xml:space="preserve">Občanskou vybavenost můžou zvýšit mobilní služby a služby pro turisty. </w:t>
            </w:r>
          </w:p>
          <w:p w:rsidR="0016054F" w:rsidRPr="00497920" w:rsidRDefault="0016054F" w:rsidP="00A60AC9">
            <w:pPr>
              <w:pStyle w:val="Odstavecseseznamem"/>
              <w:numPr>
                <w:ilvl w:val="0"/>
                <w:numId w:val="50"/>
              </w:numPr>
              <w:spacing w:after="0"/>
              <w:rPr>
                <w:sz w:val="20"/>
                <w:szCs w:val="20"/>
              </w:rPr>
            </w:pPr>
            <w:r w:rsidRPr="00497920">
              <w:rPr>
                <w:sz w:val="20"/>
                <w:szCs w:val="20"/>
              </w:rPr>
              <w:t>Posílení terénní</w:t>
            </w:r>
            <w:r w:rsidR="00A35FBB">
              <w:rPr>
                <w:sz w:val="20"/>
                <w:szCs w:val="20"/>
              </w:rPr>
              <w:t>ch</w:t>
            </w:r>
            <w:r w:rsidRPr="00497920">
              <w:rPr>
                <w:sz w:val="20"/>
                <w:szCs w:val="20"/>
              </w:rPr>
              <w:t xml:space="preserve"> sociálních a zdravotnických služeb.</w:t>
            </w:r>
          </w:p>
          <w:p w:rsidR="0016054F" w:rsidRPr="00497920" w:rsidRDefault="0016054F" w:rsidP="00A60AC9">
            <w:pPr>
              <w:pStyle w:val="Odstavecseseznamem"/>
              <w:numPr>
                <w:ilvl w:val="0"/>
                <w:numId w:val="50"/>
              </w:numPr>
              <w:spacing w:after="0"/>
              <w:rPr>
                <w:sz w:val="20"/>
                <w:szCs w:val="20"/>
              </w:rPr>
            </w:pPr>
            <w:r w:rsidRPr="00497920">
              <w:rPr>
                <w:sz w:val="20"/>
                <w:szCs w:val="20"/>
              </w:rPr>
              <w:t>Potenciál cestovního ruchu (zlepšení propagace a infrastruktury)</w:t>
            </w:r>
          </w:p>
          <w:p w:rsidR="0016054F" w:rsidRPr="00497920" w:rsidRDefault="0016054F" w:rsidP="00A60AC9">
            <w:pPr>
              <w:pStyle w:val="Odstavecseseznamem"/>
              <w:numPr>
                <w:ilvl w:val="0"/>
                <w:numId w:val="50"/>
              </w:numPr>
              <w:spacing w:after="0"/>
              <w:rPr>
                <w:sz w:val="20"/>
                <w:szCs w:val="20"/>
              </w:rPr>
            </w:pPr>
            <w:r w:rsidRPr="00497920">
              <w:rPr>
                <w:sz w:val="20"/>
                <w:szCs w:val="20"/>
              </w:rPr>
              <w:t>Zvýšení informovanosti o dostupnosti zboží, služeb a sociální služeb v regionu.</w:t>
            </w:r>
          </w:p>
          <w:p w:rsidR="0016054F" w:rsidRPr="00497920" w:rsidRDefault="0016054F" w:rsidP="00A60AC9">
            <w:pPr>
              <w:pStyle w:val="Odstavecseseznamem"/>
              <w:numPr>
                <w:ilvl w:val="0"/>
                <w:numId w:val="50"/>
              </w:numPr>
              <w:spacing w:after="0"/>
              <w:rPr>
                <w:sz w:val="20"/>
                <w:szCs w:val="20"/>
              </w:rPr>
            </w:pPr>
            <w:r w:rsidRPr="00497920">
              <w:rPr>
                <w:sz w:val="20"/>
                <w:szCs w:val="20"/>
              </w:rPr>
              <w:t>Možné přínosy z propagace regionálních produktů a služeb.</w:t>
            </w:r>
          </w:p>
          <w:p w:rsidR="0016054F" w:rsidRPr="00497920" w:rsidRDefault="0016054F" w:rsidP="00A60AC9">
            <w:pPr>
              <w:pStyle w:val="Odstavecseseznamem"/>
              <w:numPr>
                <w:ilvl w:val="0"/>
                <w:numId w:val="50"/>
              </w:numPr>
              <w:spacing w:after="0"/>
              <w:rPr>
                <w:sz w:val="20"/>
                <w:szCs w:val="20"/>
              </w:rPr>
            </w:pPr>
            <w:r w:rsidRPr="00497920">
              <w:rPr>
                <w:sz w:val="20"/>
                <w:szCs w:val="20"/>
              </w:rPr>
              <w:t>Možnost investice (průmysl. zóny, dostupná pracovní síla).</w:t>
            </w:r>
          </w:p>
          <w:p w:rsidR="000F7E1C" w:rsidRDefault="0016054F" w:rsidP="00A60AC9">
            <w:pPr>
              <w:pStyle w:val="Odstavecseseznamem"/>
              <w:numPr>
                <w:ilvl w:val="0"/>
                <w:numId w:val="50"/>
              </w:numPr>
              <w:spacing w:after="0"/>
            </w:pPr>
            <w:r w:rsidRPr="00497920">
              <w:rPr>
                <w:sz w:val="20"/>
                <w:szCs w:val="20"/>
              </w:rPr>
              <w:t>Možnost stabilizace zemědělských subjektů diverzifikaci činností, zpracování prvovýroby a projekty spolupráce.</w:t>
            </w:r>
          </w:p>
        </w:tc>
        <w:tc>
          <w:tcPr>
            <w:tcW w:w="4606" w:type="dxa"/>
            <w:shd w:val="clear" w:color="auto" w:fill="F2DBDB" w:themeFill="accent2" w:themeFillTint="33"/>
          </w:tcPr>
          <w:p w:rsidR="0016054F" w:rsidRPr="00497920" w:rsidRDefault="0016054F" w:rsidP="00A60AC9">
            <w:pPr>
              <w:pStyle w:val="Odstavecseseznamem"/>
              <w:numPr>
                <w:ilvl w:val="0"/>
                <w:numId w:val="50"/>
              </w:numPr>
              <w:spacing w:after="0"/>
              <w:rPr>
                <w:sz w:val="20"/>
                <w:szCs w:val="20"/>
              </w:rPr>
            </w:pPr>
            <w:r w:rsidRPr="00497920">
              <w:rPr>
                <w:sz w:val="20"/>
                <w:szCs w:val="20"/>
              </w:rPr>
              <w:t>Následky nevhodného nakládání s odpady na životní prostředí.</w:t>
            </w:r>
          </w:p>
          <w:p w:rsidR="0016054F" w:rsidRPr="00497920" w:rsidRDefault="0016054F" w:rsidP="00A60AC9">
            <w:pPr>
              <w:pStyle w:val="Odstavecseseznamem"/>
              <w:numPr>
                <w:ilvl w:val="0"/>
                <w:numId w:val="50"/>
              </w:numPr>
              <w:spacing w:after="0"/>
              <w:rPr>
                <w:sz w:val="20"/>
                <w:szCs w:val="20"/>
              </w:rPr>
            </w:pPr>
            <w:r w:rsidRPr="00497920">
              <w:rPr>
                <w:sz w:val="20"/>
                <w:szCs w:val="20"/>
              </w:rPr>
              <w:t>Případné omezení dopravy soukromými dopravci by znamenalo snížení dostupnosti.</w:t>
            </w:r>
          </w:p>
          <w:p w:rsidR="0016054F" w:rsidRPr="00497920" w:rsidRDefault="0016054F" w:rsidP="00A60AC9">
            <w:pPr>
              <w:pStyle w:val="Odstavecseseznamem"/>
              <w:numPr>
                <w:ilvl w:val="0"/>
                <w:numId w:val="50"/>
              </w:numPr>
              <w:spacing w:after="0"/>
              <w:rPr>
                <w:sz w:val="20"/>
                <w:szCs w:val="20"/>
              </w:rPr>
            </w:pPr>
            <w:r w:rsidRPr="00497920">
              <w:rPr>
                <w:sz w:val="20"/>
                <w:szCs w:val="20"/>
              </w:rPr>
              <w:t>Stárnoucí budovy a vybavení obecních budov ohrožují plnění účelu a kladou vysoké nároky na rozpočet obce.</w:t>
            </w:r>
          </w:p>
          <w:p w:rsidR="0016054F" w:rsidRPr="00497920" w:rsidRDefault="0016054F" w:rsidP="00A60AC9">
            <w:pPr>
              <w:pStyle w:val="Odstavecseseznamem"/>
              <w:numPr>
                <w:ilvl w:val="0"/>
                <w:numId w:val="50"/>
              </w:numPr>
              <w:spacing w:after="0"/>
              <w:rPr>
                <w:sz w:val="20"/>
                <w:szCs w:val="20"/>
              </w:rPr>
            </w:pPr>
            <w:r w:rsidRPr="00497920">
              <w:rPr>
                <w:sz w:val="20"/>
                <w:szCs w:val="20"/>
              </w:rPr>
              <w:t>Vlivy nízké úrovně infrastruktury obce na život a životní prostředí.</w:t>
            </w:r>
          </w:p>
          <w:p w:rsidR="0016054F" w:rsidRPr="00497920" w:rsidRDefault="0016054F" w:rsidP="00A60AC9">
            <w:pPr>
              <w:pStyle w:val="Odstavecseseznamem"/>
              <w:numPr>
                <w:ilvl w:val="0"/>
                <w:numId w:val="50"/>
              </w:numPr>
              <w:spacing w:after="0"/>
              <w:rPr>
                <w:sz w:val="20"/>
                <w:szCs w:val="20"/>
              </w:rPr>
            </w:pPr>
            <w:r w:rsidRPr="00497920">
              <w:rPr>
                <w:sz w:val="20"/>
                <w:szCs w:val="20"/>
              </w:rPr>
              <w:t>Dopady na regionální dopravu v důsledku rekonstrukcí klíčových komunikací.</w:t>
            </w:r>
          </w:p>
          <w:p w:rsidR="0016054F" w:rsidRPr="00497920" w:rsidRDefault="0016054F" w:rsidP="00A60AC9">
            <w:pPr>
              <w:pStyle w:val="Odstavecseseznamem"/>
              <w:numPr>
                <w:ilvl w:val="0"/>
                <w:numId w:val="50"/>
              </w:numPr>
              <w:spacing w:after="0"/>
              <w:rPr>
                <w:sz w:val="20"/>
                <w:szCs w:val="20"/>
              </w:rPr>
            </w:pPr>
            <w:r w:rsidRPr="00497920">
              <w:rPr>
                <w:sz w:val="20"/>
                <w:szCs w:val="20"/>
              </w:rPr>
              <w:t>Stáří bytového fondu a některých budov.</w:t>
            </w:r>
          </w:p>
          <w:p w:rsidR="0016054F" w:rsidRPr="00497920" w:rsidRDefault="0016054F" w:rsidP="00A60AC9">
            <w:pPr>
              <w:pStyle w:val="Odstavecseseznamem"/>
              <w:numPr>
                <w:ilvl w:val="0"/>
                <w:numId w:val="50"/>
              </w:numPr>
              <w:spacing w:after="0"/>
              <w:rPr>
                <w:sz w:val="20"/>
                <w:szCs w:val="20"/>
              </w:rPr>
            </w:pPr>
            <w:r w:rsidRPr="00497920">
              <w:rPr>
                <w:sz w:val="20"/>
                <w:szCs w:val="20"/>
              </w:rPr>
              <w:t>Stárnutí populace, růst počtu jinak sociálně vyloučených osob a s tím spojené vyšší nároky (a náklady) na zdravotnickou i sociální péči.</w:t>
            </w:r>
          </w:p>
          <w:p w:rsidR="0016054F" w:rsidRPr="00497920" w:rsidRDefault="0016054F" w:rsidP="00A60AC9">
            <w:pPr>
              <w:pStyle w:val="Odstavecseseznamem"/>
              <w:numPr>
                <w:ilvl w:val="0"/>
                <w:numId w:val="50"/>
              </w:numPr>
              <w:spacing w:after="0"/>
              <w:rPr>
                <w:sz w:val="20"/>
                <w:szCs w:val="20"/>
              </w:rPr>
            </w:pPr>
            <w:r w:rsidRPr="00497920">
              <w:rPr>
                <w:sz w:val="20"/>
                <w:szCs w:val="20"/>
              </w:rPr>
              <w:t>Ekonomická situace v ČR i mezinárodní</w:t>
            </w:r>
          </w:p>
          <w:p w:rsidR="0016054F" w:rsidRPr="00497920" w:rsidRDefault="0016054F" w:rsidP="00A60AC9">
            <w:pPr>
              <w:pStyle w:val="Odstavecseseznamem"/>
              <w:numPr>
                <w:ilvl w:val="0"/>
                <w:numId w:val="50"/>
              </w:numPr>
              <w:spacing w:after="0"/>
              <w:rPr>
                <w:sz w:val="20"/>
                <w:szCs w:val="20"/>
              </w:rPr>
            </w:pPr>
            <w:r w:rsidRPr="00497920">
              <w:rPr>
                <w:sz w:val="20"/>
                <w:szCs w:val="20"/>
              </w:rPr>
              <w:t>Odchody mladé a kvalifikované pracovní síly z regionu</w:t>
            </w:r>
          </w:p>
          <w:p w:rsidR="000F7E1C" w:rsidRPr="0016054F" w:rsidRDefault="0016054F" w:rsidP="00A60AC9">
            <w:pPr>
              <w:pStyle w:val="Odstavecseseznamem"/>
              <w:numPr>
                <w:ilvl w:val="0"/>
                <w:numId w:val="50"/>
              </w:numPr>
              <w:spacing w:after="0"/>
            </w:pPr>
            <w:r w:rsidRPr="00497920">
              <w:rPr>
                <w:sz w:val="20"/>
                <w:szCs w:val="20"/>
              </w:rPr>
              <w:t>Vliv klimatických změn a povětrnostních extrémů.</w:t>
            </w:r>
          </w:p>
        </w:tc>
      </w:tr>
    </w:tbl>
    <w:p w:rsidR="000F7E1C" w:rsidRPr="000F7E1C" w:rsidRDefault="000F7E1C" w:rsidP="000F7E1C"/>
    <w:p w:rsidR="00120802" w:rsidRDefault="00120802" w:rsidP="009F4D7F">
      <w:pPr>
        <w:pStyle w:val="Nadpis2"/>
      </w:pPr>
      <w:bookmarkStart w:id="45" w:name="_Toc430006515"/>
      <w:r>
        <w:t>SWOT analýzy v území vybraných oblastí rozvoje</w:t>
      </w:r>
      <w:bookmarkEnd w:id="45"/>
    </w:p>
    <w:p w:rsidR="004303DE" w:rsidRDefault="004303DE" w:rsidP="004303DE">
      <w:r>
        <w:t>SWOT analýzy jednotlivých oblastí jsou uvedeny v analytické části vždy v závěru jednotlivých kapitol.</w:t>
      </w:r>
    </w:p>
    <w:p w:rsidR="00B50E8D" w:rsidRDefault="00B50E8D" w:rsidP="009F4D7F">
      <w:pPr>
        <w:pStyle w:val="Nadpis1"/>
      </w:pPr>
      <w:bookmarkStart w:id="46" w:name="_Toc430006516"/>
      <w:r>
        <w:lastRenderedPageBreak/>
        <w:t>Strategická část</w:t>
      </w:r>
      <w:bookmarkEnd w:id="46"/>
    </w:p>
    <w:p w:rsidR="00C51239" w:rsidRDefault="00EB5BD0" w:rsidP="009F4D7F">
      <w:pPr>
        <w:pStyle w:val="Nadpis2"/>
      </w:pPr>
      <w:bookmarkStart w:id="47" w:name="_Toc430006517"/>
      <w:r>
        <w:t>Definování</w:t>
      </w:r>
      <w:r w:rsidR="00EE2B1D">
        <w:t xml:space="preserve"> </w:t>
      </w:r>
      <w:r>
        <w:t>MISE</w:t>
      </w:r>
      <w:bookmarkEnd w:id="47"/>
    </w:p>
    <w:p w:rsidR="00910570" w:rsidRDefault="00910570" w:rsidP="00910570">
      <w:r>
        <w:t>Tento strategický dokument je zpracováván za účelem formalizace koncepce komunitně vedeného místního rozvoje v regionu působnosti MAS Litomyšlsko. Základem bylo zapojení širokého spektra regionálních aktérů tak, aby komunitní plány byly základem této strategie. Bez strategického dokumentu a zastřešení jeho re</w:t>
      </w:r>
      <w:r w:rsidR="00F048B0">
        <w:t>alizace by pravděpodobně komuni</w:t>
      </w:r>
      <w:r>
        <w:t>tní vývoj probíhal rozdrobeně a nekoncepčně.</w:t>
      </w:r>
    </w:p>
    <w:p w:rsidR="004F29E0" w:rsidRPr="00910570" w:rsidRDefault="004F29E0" w:rsidP="004F29E0">
      <w:pPr>
        <w:rPr>
          <w:lang w:eastAsia="cs-CZ"/>
        </w:rPr>
      </w:pPr>
      <w:r w:rsidRPr="00910570">
        <w:rPr>
          <w:lang w:eastAsia="cs-CZ"/>
        </w:rPr>
        <w:t>Nová strategie s cílovým horizontem pro konkrétní cíle a efekty je výrazem soudržnosti územních celků a obyvatel regionu a také jejich prostředkem k dalšímu období udržitelné prosperity. Vedle dosavadních aktérů o tom podává důkaz to, že se připojily další obce a město Vysoké Mýto. Tím se str</w:t>
      </w:r>
      <w:r w:rsidR="00910570" w:rsidRPr="00910570">
        <w:rPr>
          <w:lang w:eastAsia="cs-CZ"/>
        </w:rPr>
        <w:t>ategický rozvoj týká více než 45</w:t>
      </w:r>
      <w:r w:rsidRPr="00910570">
        <w:rPr>
          <w:lang w:eastAsia="cs-CZ"/>
        </w:rPr>
        <w:t xml:space="preserve">.000 obyvatel, což je pro MAS nová, zodpovědnější pozice. Původní i nové obce v regionu se shodují na kvalitách, které chtějí strategicky dosáhnout pro své životní podmínky. Území si chce udržet solidní konkurenceschopnost bez hospodářských strukturálních propadů a bez narušení životního prostředí. Zdejší lidé považují mix svých příjmů s harmonií prostředí za dobrou perspektivu i pro své děti. Strategie proto soustředí finanční i lidské zdroje do kultivace tradičních hodnot v životě obyvatel a obcí jako komunit. Rozvojový potenciál je v konzistenci místního prostředí, které potom vydrží nápory, jaké v novém období přinese například výstavba rychlostní tranzitní silnice Hradec Králové-Olomouc (Brno). Naopak konzistentní region může spíše získat. </w:t>
      </w:r>
    </w:p>
    <w:p w:rsidR="004F29E0" w:rsidRPr="00910570" w:rsidRDefault="004F29E0" w:rsidP="004F29E0">
      <w:pPr>
        <w:rPr>
          <w:lang w:eastAsia="cs-CZ"/>
        </w:rPr>
      </w:pPr>
      <w:r w:rsidRPr="00910570">
        <w:rPr>
          <w:lang w:eastAsia="cs-CZ"/>
        </w:rPr>
        <w:t xml:space="preserve">Mise této strategie a konkrétní rozpracování v kompetenci MAS má očekávání aktérů naplnit jako průsečík dvou principů: </w:t>
      </w:r>
    </w:p>
    <w:p w:rsidR="004F29E0" w:rsidRPr="00910570" w:rsidRDefault="004F29E0" w:rsidP="00A60AC9">
      <w:pPr>
        <w:pStyle w:val="Odstavecseseznamem"/>
        <w:numPr>
          <w:ilvl w:val="0"/>
          <w:numId w:val="50"/>
        </w:numPr>
        <w:rPr>
          <w:lang w:eastAsia="cs-CZ"/>
        </w:rPr>
      </w:pPr>
      <w:r w:rsidRPr="00910570">
        <w:rPr>
          <w:lang w:eastAsia="cs-CZ"/>
        </w:rPr>
        <w:t xml:space="preserve">Přednostní pozornost k potřebám citlivých skupin, konkrétně starším obyvatelům a rodinám s dětmi. Ty totiž objektivně budou stabilním faktorem zdejšího osídlení. </w:t>
      </w:r>
    </w:p>
    <w:p w:rsidR="004F29E0" w:rsidRPr="00910570" w:rsidRDefault="004F29E0" w:rsidP="00A60AC9">
      <w:pPr>
        <w:pStyle w:val="Odstavecseseznamem"/>
        <w:numPr>
          <w:ilvl w:val="0"/>
          <w:numId w:val="50"/>
        </w:numPr>
        <w:rPr>
          <w:lang w:eastAsia="cs-CZ"/>
        </w:rPr>
      </w:pPr>
      <w:r w:rsidRPr="00910570">
        <w:rPr>
          <w:lang w:eastAsia="cs-CZ"/>
        </w:rPr>
        <w:t>Udržitelnost dosavadních i nových hodnot v obcích prostřednictvím co nejužšího propojení s místním historickým a přírodním odkazem a otevíráním prostoru pro te</w:t>
      </w:r>
      <w:r w:rsidR="00637226">
        <w:rPr>
          <w:lang w:eastAsia="cs-CZ"/>
        </w:rPr>
        <w:t>rénní a místní služby.</w:t>
      </w:r>
    </w:p>
    <w:p w:rsidR="004F29E0" w:rsidRPr="004F29E0" w:rsidRDefault="004F29E0" w:rsidP="004F29E0">
      <w:pPr>
        <w:rPr>
          <w:lang w:eastAsia="cs-CZ"/>
        </w:rPr>
      </w:pPr>
      <w:r w:rsidRPr="00910570">
        <w:rPr>
          <w:lang w:eastAsia="cs-CZ"/>
        </w:rPr>
        <w:lastRenderedPageBreak/>
        <w:t>K těmto principům patří a je nutnou podmínkou upřímná spolupráce a podpora místních společenství. Těm by se měly otevřít fyzické kapacity objektů i obecní plánování. Pro hospodářskou sílu nelze podcenit formát integrace informací a marketingu místních kvalit.</w:t>
      </w:r>
      <w:r w:rsidRPr="004F29E0">
        <w:rPr>
          <w:lang w:eastAsia="cs-CZ"/>
        </w:rPr>
        <w:t xml:space="preserve"> </w:t>
      </w:r>
    </w:p>
    <w:p w:rsidR="00611AE7" w:rsidRDefault="00611AE7" w:rsidP="00611AE7">
      <w:pPr>
        <w:pStyle w:val="Nadpis3"/>
      </w:pPr>
      <w:bookmarkStart w:id="48" w:name="_Toc430006518"/>
      <w:r>
        <w:t>Principy realizace strategie</w:t>
      </w:r>
      <w:bookmarkEnd w:id="48"/>
    </w:p>
    <w:p w:rsidR="00611AE7" w:rsidRDefault="00611AE7" w:rsidP="00611AE7">
      <w:pPr>
        <w:pStyle w:val="Nadpis4"/>
      </w:pPr>
      <w:r>
        <w:t>Obecné principy</w:t>
      </w:r>
    </w:p>
    <w:p w:rsidR="00611AE7" w:rsidRDefault="00611AE7" w:rsidP="00A60AC9">
      <w:pPr>
        <w:pStyle w:val="Odstavecseseznamem"/>
        <w:numPr>
          <w:ilvl w:val="0"/>
          <w:numId w:val="32"/>
        </w:numPr>
      </w:pPr>
      <w:r w:rsidRPr="00611AE7">
        <w:t>Zachování kulturního a přírodního bohatství</w:t>
      </w:r>
      <w:r w:rsidR="00910570">
        <w:t>.</w:t>
      </w:r>
    </w:p>
    <w:p w:rsidR="00611AE7" w:rsidRDefault="00611AE7" w:rsidP="00A60AC9">
      <w:pPr>
        <w:pStyle w:val="Odstavecseseznamem"/>
        <w:numPr>
          <w:ilvl w:val="0"/>
          <w:numId w:val="32"/>
        </w:numPr>
      </w:pPr>
      <w:r w:rsidRPr="00611AE7">
        <w:t>Partnerství a spolupráce</w:t>
      </w:r>
      <w:r w:rsidR="00910570">
        <w:t>.</w:t>
      </w:r>
    </w:p>
    <w:p w:rsidR="00611AE7" w:rsidRDefault="00611AE7" w:rsidP="00A60AC9">
      <w:pPr>
        <w:pStyle w:val="Odstavecseseznamem"/>
        <w:numPr>
          <w:ilvl w:val="0"/>
          <w:numId w:val="32"/>
        </w:numPr>
      </w:pPr>
      <w:r w:rsidRPr="00611AE7">
        <w:t>Transparentnost</w:t>
      </w:r>
      <w:r w:rsidR="00910570">
        <w:t>.</w:t>
      </w:r>
    </w:p>
    <w:p w:rsidR="00611AE7" w:rsidRDefault="00611AE7" w:rsidP="00611AE7">
      <w:pPr>
        <w:pStyle w:val="Nadpis4"/>
      </w:pPr>
      <w:r>
        <w:t>Horizontální témata</w:t>
      </w:r>
    </w:p>
    <w:p w:rsidR="00611AE7" w:rsidRDefault="00611AE7" w:rsidP="00A60AC9">
      <w:pPr>
        <w:pStyle w:val="Odstavecseseznamem"/>
        <w:numPr>
          <w:ilvl w:val="0"/>
          <w:numId w:val="32"/>
        </w:numPr>
      </w:pPr>
      <w:r>
        <w:t>Rovné příležitosti</w:t>
      </w:r>
      <w:r w:rsidR="00910570">
        <w:t>.</w:t>
      </w:r>
    </w:p>
    <w:p w:rsidR="00611AE7" w:rsidRDefault="00611AE7" w:rsidP="00A60AC9">
      <w:pPr>
        <w:pStyle w:val="Odstavecseseznamem"/>
        <w:numPr>
          <w:ilvl w:val="0"/>
          <w:numId w:val="32"/>
        </w:numPr>
      </w:pPr>
      <w:r>
        <w:t>Udržitelný rozvoj</w:t>
      </w:r>
      <w:r w:rsidR="00910570">
        <w:t>.</w:t>
      </w:r>
    </w:p>
    <w:p w:rsidR="00B50E8D" w:rsidRDefault="00EB5BD0" w:rsidP="009F4D7F">
      <w:pPr>
        <w:pStyle w:val="Nadpis2"/>
      </w:pPr>
      <w:bookmarkStart w:id="49" w:name="_Toc430006519"/>
      <w:r>
        <w:t>Definování dlouhodobé vize rozvoje území</w:t>
      </w:r>
      <w:bookmarkEnd w:id="49"/>
    </w:p>
    <w:p w:rsidR="00380645" w:rsidRPr="00396E8C" w:rsidRDefault="00396E8C" w:rsidP="00396E8C">
      <w:pPr>
        <w:rPr>
          <w:rFonts w:eastAsia="Arial Unicode MS" w:cs="Arial Unicode MS"/>
        </w:rPr>
      </w:pPr>
      <w:r>
        <w:rPr>
          <w:rFonts w:eastAsia="Arial Unicode MS" w:cs="Arial Unicode MS"/>
        </w:rPr>
        <w:t>V regionu se podařilo dosáhnout</w:t>
      </w:r>
      <w:r w:rsidR="00380645" w:rsidRPr="00396E8C">
        <w:rPr>
          <w:rFonts w:eastAsia="Arial Unicode MS" w:cs="Arial Unicode MS"/>
        </w:rPr>
        <w:t xml:space="preserve"> relativně harmonického</w:t>
      </w:r>
      <w:r>
        <w:rPr>
          <w:rFonts w:eastAsia="Arial Unicode MS" w:cs="Arial Unicode MS"/>
        </w:rPr>
        <w:t xml:space="preserve"> poměru faktorů rozhodujících o </w:t>
      </w:r>
      <w:r w:rsidR="00380645" w:rsidRPr="00396E8C">
        <w:rPr>
          <w:rFonts w:eastAsia="Arial Unicode MS" w:cs="Arial Unicode MS"/>
        </w:rPr>
        <w:t>kvalitě života zdejších obcí. Analýza prokazuje vyšší úroveň spokojenosti a pozitivní atmosféru ve většině obcí. Zdejší lidé oceňují zachovalost přírodních hodnot, venkovský, méně rušný provoz a tempo. Přijímají i s tím spojenou vyšší závislost na vyjíždění do měst. Tento životní postoj je spojen s jistou skromností v </w:t>
      </w:r>
      <w:r w:rsidR="00637226">
        <w:rPr>
          <w:rFonts w:eastAsia="Arial Unicode MS" w:cs="Arial Unicode MS"/>
        </w:rPr>
        <w:t>úrovni příjmů i infrastruktury.</w:t>
      </w:r>
    </w:p>
    <w:p w:rsidR="006A7B89" w:rsidRDefault="00380645" w:rsidP="006A7B89">
      <w:pPr>
        <w:rPr>
          <w:rFonts w:eastAsia="Arial Unicode MS" w:cs="Arial Unicode MS"/>
        </w:rPr>
      </w:pPr>
      <w:r w:rsidRPr="00396E8C">
        <w:rPr>
          <w:rFonts w:eastAsia="Arial Unicode MS" w:cs="Arial Unicode MS"/>
        </w:rPr>
        <w:t>Dlouhodobou vizí odvozenou z dosavadních programových a projektových zkušeností můžeme strukturovat</w:t>
      </w:r>
      <w:r w:rsidR="000E02FA">
        <w:rPr>
          <w:rFonts w:eastAsia="Arial Unicode MS" w:cs="Arial Unicode MS"/>
        </w:rPr>
        <w:t xml:space="preserve"> do níže uvedených oblastí</w:t>
      </w:r>
      <w:r w:rsidRPr="00396E8C">
        <w:rPr>
          <w:rFonts w:eastAsia="Arial Unicode MS" w:cs="Arial Unicode MS"/>
        </w:rPr>
        <w:t>:</w:t>
      </w:r>
    </w:p>
    <w:p w:rsidR="006A7B89" w:rsidRDefault="006A7B89" w:rsidP="00A60AC9">
      <w:pPr>
        <w:pStyle w:val="Odstavecseseznamem"/>
        <w:numPr>
          <w:ilvl w:val="0"/>
          <w:numId w:val="41"/>
        </w:numPr>
        <w:rPr>
          <w:rFonts w:eastAsia="Arial Unicode MS" w:cs="Arial Unicode MS"/>
        </w:rPr>
      </w:pPr>
      <w:r w:rsidRPr="006A7B89">
        <w:rPr>
          <w:rFonts w:eastAsia="Arial Unicode MS" w:cs="Arial Unicode MS"/>
        </w:rPr>
        <w:t>V obcích, i těch malých</w:t>
      </w:r>
      <w:r w:rsidR="00B510CB">
        <w:rPr>
          <w:rFonts w:eastAsia="Arial Unicode MS" w:cs="Arial Unicode MS"/>
        </w:rPr>
        <w:t xml:space="preserve"> jsou evidentní známky silné sounáležitosti obyvatel</w:t>
      </w:r>
      <w:r w:rsidRPr="006A7B89">
        <w:rPr>
          <w:rFonts w:eastAsia="Arial Unicode MS" w:cs="Arial Unicode MS"/>
        </w:rPr>
        <w:t>. Lidé spolu komunikují a společně pěstují své</w:t>
      </w:r>
      <w:r>
        <w:rPr>
          <w:rFonts w:eastAsia="Arial Unicode MS" w:cs="Arial Unicode MS"/>
        </w:rPr>
        <w:t xml:space="preserve"> zájmy, pomáhají si. Takto se udržují i starší občané činorodí, přispívá k tomu síť místních služeb. Ty jsou zdrojem práce a fungují ve sdílených prostorách často poskytnutých obcemi nebo jsou poskytovány terénně. Někteří ze starších úspěšně podporují mimoškolní výchovu dětí, udržují tradice a jsou místními aktéry </w:t>
      </w:r>
      <w:r w:rsidR="006F35E0">
        <w:rPr>
          <w:rFonts w:eastAsia="Arial Unicode MS" w:cs="Arial Unicode MS"/>
        </w:rPr>
        <w:t xml:space="preserve">rozvoje </w:t>
      </w:r>
      <w:r>
        <w:rPr>
          <w:rFonts w:eastAsia="Arial Unicode MS" w:cs="Arial Unicode MS"/>
        </w:rPr>
        <w:t>turistiky.</w:t>
      </w:r>
    </w:p>
    <w:p w:rsidR="006A7B89" w:rsidRPr="006A7B89" w:rsidRDefault="006A7B89" w:rsidP="006A7B89">
      <w:pPr>
        <w:pStyle w:val="Odstavecseseznamem"/>
        <w:ind w:left="360"/>
        <w:rPr>
          <w:rFonts w:eastAsia="Arial Unicode MS" w:cs="Arial Unicode MS"/>
        </w:rPr>
      </w:pPr>
      <w:r>
        <w:rPr>
          <w:rFonts w:eastAsia="Arial Unicode MS" w:cs="Arial Unicode MS"/>
        </w:rPr>
        <w:t>Tato vize nejvíce souvisí s oblastí zde nazvanou Místní soudržnost</w:t>
      </w:r>
      <w:r w:rsidR="000E02FA">
        <w:rPr>
          <w:rFonts w:eastAsia="Arial Unicode MS" w:cs="Arial Unicode MS"/>
        </w:rPr>
        <w:t xml:space="preserve"> (viz níže)</w:t>
      </w:r>
      <w:r>
        <w:rPr>
          <w:rFonts w:eastAsia="Arial Unicode MS" w:cs="Arial Unicode MS"/>
        </w:rPr>
        <w:t>. Pro ni jsou dále vymezeny strategické podoblasti rozvoje.</w:t>
      </w:r>
    </w:p>
    <w:p w:rsidR="00380645" w:rsidRDefault="00380645" w:rsidP="00A60AC9">
      <w:pPr>
        <w:pStyle w:val="Odstavecseseznamem"/>
        <w:numPr>
          <w:ilvl w:val="0"/>
          <w:numId w:val="41"/>
        </w:numPr>
        <w:suppressAutoHyphens w:val="0"/>
        <w:spacing w:after="200"/>
        <w:ind w:left="357" w:hanging="357"/>
        <w:rPr>
          <w:rFonts w:eastAsia="Arial Unicode MS" w:cs="Arial Unicode MS"/>
        </w:rPr>
      </w:pPr>
      <w:r w:rsidRPr="00396E8C">
        <w:rPr>
          <w:rFonts w:eastAsia="Arial Unicode MS" w:cs="Arial Unicode MS"/>
        </w:rPr>
        <w:lastRenderedPageBreak/>
        <w:t>Infrastruktura v obcích je vyváženě rozšiřována, aby včas saturovala příležitosti rozvoje a naopak nebyla příčinou problémů v kvalitě života či dokonce rizikovým faktorem.</w:t>
      </w:r>
    </w:p>
    <w:p w:rsidR="006A7B89" w:rsidRPr="00396E8C" w:rsidRDefault="006A7B89" w:rsidP="006A7B89">
      <w:pPr>
        <w:pStyle w:val="Odstavecseseznamem"/>
        <w:suppressAutoHyphens w:val="0"/>
        <w:spacing w:after="200"/>
        <w:ind w:left="360"/>
        <w:rPr>
          <w:rFonts w:eastAsia="Arial Unicode MS" w:cs="Arial Unicode MS"/>
        </w:rPr>
      </w:pPr>
      <w:r>
        <w:rPr>
          <w:rFonts w:eastAsia="Arial Unicode MS" w:cs="Arial Unicode MS"/>
        </w:rPr>
        <w:t xml:space="preserve">Tato vize nejvíce souvisí s oblastí </w:t>
      </w:r>
      <w:r w:rsidR="000E449E">
        <w:rPr>
          <w:rFonts w:eastAsia="Arial Unicode MS" w:cs="Arial Unicode MS"/>
        </w:rPr>
        <w:t>Infrastruktura (viz níže).</w:t>
      </w:r>
      <w:r w:rsidR="000E02FA">
        <w:rPr>
          <w:rFonts w:eastAsia="Arial Unicode MS" w:cs="Arial Unicode MS"/>
        </w:rPr>
        <w:t xml:space="preserve"> Pro ni jsou dále vymezeny strategické podoblasti rozvoje.</w:t>
      </w:r>
    </w:p>
    <w:p w:rsidR="00380645" w:rsidRDefault="00380645" w:rsidP="00A60AC9">
      <w:pPr>
        <w:pStyle w:val="Odstavecseseznamem"/>
        <w:numPr>
          <w:ilvl w:val="0"/>
          <w:numId w:val="41"/>
        </w:numPr>
        <w:suppressAutoHyphens w:val="0"/>
        <w:spacing w:after="200"/>
        <w:ind w:left="357" w:hanging="357"/>
        <w:rPr>
          <w:rFonts w:eastAsia="Arial Unicode MS" w:cs="Arial Unicode MS"/>
        </w:rPr>
      </w:pPr>
      <w:r w:rsidRPr="00396E8C">
        <w:rPr>
          <w:rFonts w:eastAsia="Arial Unicode MS" w:cs="Arial Unicode MS"/>
        </w:rPr>
        <w:t>Životní prostředí a krajinný ráz území je stabilizováno místními regeneracemi, šetrností v hospodářském i turistickém užívání a také přiměřenou výchovou všech generací. V obcích jsou opodstatněné systémy hospodářství: energetické, odpadové, vodohospodářské …</w:t>
      </w:r>
    </w:p>
    <w:p w:rsidR="006A7B89" w:rsidRPr="00396E8C" w:rsidRDefault="006A7B89" w:rsidP="006A7B89">
      <w:pPr>
        <w:pStyle w:val="Odstavecseseznamem"/>
        <w:suppressAutoHyphens w:val="0"/>
        <w:spacing w:after="200"/>
        <w:ind w:left="360"/>
        <w:rPr>
          <w:rFonts w:eastAsia="Arial Unicode MS" w:cs="Arial Unicode MS"/>
        </w:rPr>
      </w:pPr>
      <w:r>
        <w:rPr>
          <w:rFonts w:eastAsia="Arial Unicode MS" w:cs="Arial Unicode MS"/>
        </w:rPr>
        <w:t xml:space="preserve">Tato vize nejvíce souvisí s oblastí </w:t>
      </w:r>
      <w:r w:rsidR="000E449E">
        <w:rPr>
          <w:rFonts w:eastAsia="Arial Unicode MS" w:cs="Arial Unicode MS"/>
        </w:rPr>
        <w:t>Životní prostředí (viz níže).</w:t>
      </w:r>
      <w:r w:rsidR="000E02FA">
        <w:rPr>
          <w:rFonts w:eastAsia="Arial Unicode MS" w:cs="Arial Unicode MS"/>
        </w:rPr>
        <w:t xml:space="preserve"> Pro ni jsou dále vymezeny strategické podoblasti rozvoje.</w:t>
      </w:r>
    </w:p>
    <w:p w:rsidR="00380645" w:rsidRDefault="00380645" w:rsidP="00A60AC9">
      <w:pPr>
        <w:pStyle w:val="Odstavecseseznamem"/>
        <w:numPr>
          <w:ilvl w:val="0"/>
          <w:numId w:val="41"/>
        </w:numPr>
        <w:suppressAutoHyphens w:val="0"/>
        <w:spacing w:after="200"/>
        <w:rPr>
          <w:rFonts w:eastAsia="Arial Unicode MS" w:cs="Arial Unicode MS"/>
        </w:rPr>
      </w:pPr>
      <w:r w:rsidRPr="00396E8C">
        <w:rPr>
          <w:rFonts w:eastAsia="Arial Unicode MS" w:cs="Arial Unicode MS"/>
        </w:rPr>
        <w:t>Hospodářská struktura území se opírá o tradiční závody velkých a středních průmyslových podniků. Mezi nimi podniká dostatečné množství menších, a dohromady nabízejí pracovní příležitosti tak, že nezaměstnanost je pod národním průměrem.</w:t>
      </w:r>
    </w:p>
    <w:p w:rsidR="006A7B89" w:rsidRPr="00396E8C" w:rsidRDefault="006A7B89" w:rsidP="006A7B89">
      <w:pPr>
        <w:pStyle w:val="Odstavecseseznamem"/>
        <w:suppressAutoHyphens w:val="0"/>
        <w:spacing w:after="200"/>
        <w:ind w:left="360"/>
        <w:rPr>
          <w:rFonts w:eastAsia="Arial Unicode MS" w:cs="Arial Unicode MS"/>
        </w:rPr>
      </w:pPr>
      <w:r>
        <w:rPr>
          <w:rFonts w:eastAsia="Arial Unicode MS" w:cs="Arial Unicode MS"/>
        </w:rPr>
        <w:t xml:space="preserve">Tato vize nejvíce souvisí s oblastí </w:t>
      </w:r>
      <w:r w:rsidR="000E02FA">
        <w:rPr>
          <w:rFonts w:eastAsia="Arial Unicode MS" w:cs="Arial Unicode MS"/>
        </w:rPr>
        <w:t>Hospodářství (viz níže). Pro ni jsou dále vymezeny strategické podoblasti rozvoje.</w:t>
      </w:r>
    </w:p>
    <w:p w:rsidR="00D53CB0" w:rsidRDefault="00D53CB0" w:rsidP="00D53CB0">
      <w:pPr>
        <w:pStyle w:val="Nadpis2"/>
      </w:pPr>
      <w:bookmarkStart w:id="50" w:name="_Toc430006520"/>
      <w:r>
        <w:t>Definice podoblastí, cílů a indikátorů</w:t>
      </w:r>
      <w:bookmarkEnd w:id="50"/>
    </w:p>
    <w:p w:rsidR="00D53CB0" w:rsidRPr="006024EA" w:rsidRDefault="00D53CB0" w:rsidP="00D53CB0">
      <w:r>
        <w:t>Podoblast</w:t>
      </w:r>
      <w:r>
        <w:rPr>
          <w:rStyle w:val="Znakapoznpodarou"/>
        </w:rPr>
        <w:footnoteReference w:id="40"/>
      </w:r>
      <w:r>
        <w:t>i výše uvedených oblastí mají společné cíle a monitorovací schémata. Podpůrné a rozvojové záměry v nich lze od počátku až po fázi udržitelnosti hodnotit indikátory z monitorovacích schémat.</w:t>
      </w:r>
    </w:p>
    <w:p w:rsidR="00D53CB0" w:rsidRDefault="00D53CB0" w:rsidP="00D53CB0">
      <w:pPr>
        <w:rPr>
          <w:lang w:eastAsia="cs-CZ"/>
        </w:rPr>
      </w:pPr>
      <w:r w:rsidRPr="008E3058">
        <w:rPr>
          <w:lang w:eastAsia="cs-CZ"/>
        </w:rPr>
        <w:t xml:space="preserve">Oblastem MAS přiřadila indikátory, které </w:t>
      </w:r>
      <w:r>
        <w:rPr>
          <w:lang w:eastAsia="cs-CZ"/>
        </w:rPr>
        <w:t>se</w:t>
      </w:r>
      <w:r w:rsidRPr="008E3058">
        <w:rPr>
          <w:lang w:eastAsia="cs-CZ"/>
        </w:rPr>
        <w:t xml:space="preserve"> vážou na NČI</w:t>
      </w:r>
      <w:r>
        <w:rPr>
          <w:lang w:eastAsia="cs-CZ"/>
        </w:rPr>
        <w:t xml:space="preserve"> 2014+</w:t>
      </w:r>
      <w:r>
        <w:rPr>
          <w:rStyle w:val="Znakapoznpodarou"/>
          <w:lang w:eastAsia="cs-CZ"/>
        </w:rPr>
        <w:footnoteReference w:id="41"/>
      </w:r>
      <w:r>
        <w:rPr>
          <w:lang w:eastAsia="cs-CZ"/>
        </w:rPr>
        <w:t>. Jedná se o</w:t>
      </w:r>
      <w:r w:rsidRPr="008E3058">
        <w:rPr>
          <w:lang w:eastAsia="cs-CZ"/>
        </w:rPr>
        <w:t xml:space="preserve"> návrh takových proměnných, které dokáže MAS a subjekty v regionu bez vícenákladů nebo nepřesností a spekulací naplnit daty. Indikátory jsou seřazeny do tzv. monitorovacích sch</w:t>
      </w:r>
      <w:r>
        <w:rPr>
          <w:lang w:eastAsia="cs-CZ"/>
        </w:rPr>
        <w:t>émat každé strategické oblasti.</w:t>
      </w:r>
    </w:p>
    <w:p w:rsidR="00D53CB0" w:rsidRPr="00022D24" w:rsidRDefault="00D53CB0" w:rsidP="00D53CB0">
      <w:pPr>
        <w:pStyle w:val="Nadpis3"/>
      </w:pPr>
      <w:bookmarkStart w:id="51" w:name="_Toc430006521"/>
      <w:r w:rsidRPr="00022D24">
        <w:lastRenderedPageBreak/>
        <w:t>Oblast Místní soudržnost</w:t>
      </w:r>
      <w:bookmarkEnd w:id="51"/>
    </w:p>
    <w:p w:rsidR="00D53CB0" w:rsidRPr="006024EA" w:rsidRDefault="00D53CB0" w:rsidP="00D53CB0">
      <w:pPr>
        <w:pStyle w:val="Odstavecseseznamem"/>
        <w:ind w:left="360"/>
        <w:rPr>
          <w:b/>
          <w:lang w:eastAsia="cs-CZ"/>
        </w:rPr>
      </w:pPr>
      <w:r w:rsidRPr="006024EA">
        <w:rPr>
          <w:b/>
          <w:lang w:eastAsia="cs-CZ"/>
        </w:rPr>
        <w:t>Cíl</w:t>
      </w:r>
    </w:p>
    <w:p w:rsidR="00D53CB0" w:rsidRDefault="00D53CB0" w:rsidP="00D53CB0">
      <w:pPr>
        <w:rPr>
          <w:lang w:eastAsia="cs-CZ"/>
        </w:rPr>
      </w:pPr>
      <w:r w:rsidRPr="008E3058">
        <w:rPr>
          <w:lang w:eastAsia="cs-CZ"/>
        </w:rPr>
        <w:t xml:space="preserve">V obcích regionu se pozvedne aktivita cílových skupin rodičů s dětmi a starších </w:t>
      </w:r>
      <w:r>
        <w:rPr>
          <w:lang w:eastAsia="cs-CZ"/>
        </w:rPr>
        <w:t xml:space="preserve">osob tak, že nejméně polovina těch žijících </w:t>
      </w:r>
      <w:r w:rsidRPr="008E3058">
        <w:rPr>
          <w:lang w:eastAsia="cs-CZ"/>
        </w:rPr>
        <w:t xml:space="preserve">v obcích do 1.000 obyvatel </w:t>
      </w:r>
      <w:r>
        <w:rPr>
          <w:lang w:eastAsia="cs-CZ"/>
        </w:rPr>
        <w:t xml:space="preserve">se </w:t>
      </w:r>
      <w:r w:rsidRPr="008E3058">
        <w:rPr>
          <w:lang w:eastAsia="cs-CZ"/>
        </w:rPr>
        <w:t>zapojí do n</w:t>
      </w:r>
      <w:r>
        <w:rPr>
          <w:lang w:eastAsia="cs-CZ"/>
        </w:rPr>
        <w:t>ových nabídek služeb a kapacit.</w:t>
      </w:r>
    </w:p>
    <w:p w:rsidR="00D53CB0" w:rsidRPr="006024EA" w:rsidRDefault="00D53CB0" w:rsidP="00D53CB0">
      <w:pPr>
        <w:pStyle w:val="Odstavecseseznamem"/>
        <w:ind w:left="360"/>
        <w:rPr>
          <w:b/>
          <w:lang w:eastAsia="cs-CZ"/>
        </w:rPr>
      </w:pPr>
      <w:r w:rsidRPr="006024EA">
        <w:rPr>
          <w:b/>
          <w:lang w:eastAsia="cs-CZ"/>
        </w:rPr>
        <w:t>Podoblasti</w:t>
      </w:r>
    </w:p>
    <w:p w:rsidR="00D53CB0" w:rsidRPr="005D5A6A" w:rsidRDefault="00D53CB0" w:rsidP="00A60AC9">
      <w:pPr>
        <w:pStyle w:val="Odstavecseseznamem"/>
        <w:numPr>
          <w:ilvl w:val="0"/>
          <w:numId w:val="63"/>
        </w:numPr>
        <w:suppressAutoHyphens w:val="0"/>
        <w:spacing w:after="200"/>
      </w:pPr>
      <w:r w:rsidRPr="005D5A6A">
        <w:t xml:space="preserve">Dopravní </w:t>
      </w:r>
      <w:r w:rsidRPr="00022D24">
        <w:rPr>
          <w:rFonts w:eastAsia="Arial Unicode MS" w:cs="Arial Unicode MS"/>
        </w:rPr>
        <w:t>obslužnost</w:t>
      </w:r>
    </w:p>
    <w:p w:rsidR="00D53CB0" w:rsidRPr="00022D24" w:rsidRDefault="00D53CB0" w:rsidP="00A60AC9">
      <w:pPr>
        <w:pStyle w:val="Odstavecseseznamem"/>
        <w:numPr>
          <w:ilvl w:val="0"/>
          <w:numId w:val="63"/>
        </w:numPr>
        <w:suppressAutoHyphens w:val="0"/>
        <w:spacing w:after="200"/>
        <w:rPr>
          <w:rFonts w:eastAsia="Arial Unicode MS" w:cs="Arial Unicode MS"/>
        </w:rPr>
      </w:pPr>
      <w:r w:rsidRPr="00022D24">
        <w:rPr>
          <w:rFonts w:eastAsia="Arial Unicode MS" w:cs="Arial Unicode MS"/>
        </w:rPr>
        <w:t>Zdravotnictví, sociální oblast a další služby</w:t>
      </w:r>
    </w:p>
    <w:p w:rsidR="00D53CB0" w:rsidRDefault="00D53CB0" w:rsidP="00D53CB0">
      <w:pPr>
        <w:pStyle w:val="Odstavecseseznamem"/>
        <w:suppressAutoHyphens w:val="0"/>
        <w:spacing w:after="200"/>
        <w:ind w:left="1146"/>
        <w:rPr>
          <w:rFonts w:eastAsia="Arial Unicode MS" w:cs="Arial Unicode MS"/>
        </w:rPr>
      </w:pPr>
      <w:r w:rsidRPr="00022D24">
        <w:rPr>
          <w:rFonts w:eastAsia="Arial Unicode MS" w:cs="Arial Unicode MS"/>
        </w:rPr>
        <w:t>Rozšiřovat ambulantní / terénní služby a zázemí pro ně podle vývoje potřeb obyvatel a hospodářské síly v obcích. Spektrum služeb nutno chápat široce. Zcela jistě bude třeba sociálně-zdravotní obsluha. Může se ukázat potřeba i menší a častější dopravní obsluhy. Jistě zesílí poptávka po službách pro bydlení seniorů v rozmezí od domácí pomoci po nižší stupně sociálních služeb</w:t>
      </w:r>
    </w:p>
    <w:p w:rsidR="00D53CB0" w:rsidRDefault="00D53CB0" w:rsidP="00A60AC9">
      <w:pPr>
        <w:pStyle w:val="Odstavecseseznamem"/>
        <w:numPr>
          <w:ilvl w:val="0"/>
          <w:numId w:val="63"/>
        </w:numPr>
        <w:suppressAutoHyphens w:val="0"/>
        <w:spacing w:after="200"/>
        <w:rPr>
          <w:rFonts w:eastAsia="Arial Unicode MS" w:cs="Arial Unicode MS"/>
        </w:rPr>
      </w:pPr>
      <w:r>
        <w:rPr>
          <w:rFonts w:eastAsia="Arial Unicode MS" w:cs="Arial Unicode MS"/>
        </w:rPr>
        <w:t>Vzdělávání</w:t>
      </w:r>
    </w:p>
    <w:p w:rsidR="00D53CB0" w:rsidRPr="00C1054C" w:rsidRDefault="00D53CB0" w:rsidP="00D53CB0">
      <w:pPr>
        <w:suppressAutoHyphens w:val="0"/>
        <w:spacing w:after="200"/>
        <w:ind w:left="1146"/>
        <w:rPr>
          <w:rFonts w:eastAsia="Arial Unicode MS" w:cs="Arial Unicode MS"/>
        </w:rPr>
      </w:pPr>
      <w:r>
        <w:rPr>
          <w:rFonts w:eastAsia="Arial Unicode MS" w:cs="Arial Unicode MS"/>
        </w:rPr>
        <w:t>Vzdělávání a vhodné podmínky pro něj jsou zásadním faktorem udržujícím život v ocích, zvyšujícím pouto mladších obyvatel k regionu/obci a zabraňujícím odlivu do měst. Podmínky pro vzdělávání i související pracovní síly přitom patří k zásadním položkám obecních rozpočtů. Nedílným výstupem pak jsou kvalitní a kompetenční osoby uplatnitelné na lokálním trhu práce.</w:t>
      </w:r>
    </w:p>
    <w:p w:rsidR="00D53CB0" w:rsidRPr="006024EA" w:rsidRDefault="00D53CB0" w:rsidP="00D53CB0">
      <w:pPr>
        <w:pStyle w:val="Odstavecseseznamem"/>
        <w:spacing w:before="240"/>
        <w:ind w:left="360"/>
        <w:rPr>
          <w:b/>
          <w:lang w:eastAsia="cs-CZ"/>
        </w:rPr>
      </w:pPr>
      <w:r>
        <w:rPr>
          <w:b/>
          <w:lang w:eastAsia="cs-CZ"/>
        </w:rPr>
        <w:t>Monitorovací schéma</w:t>
      </w:r>
    </w:p>
    <w:p w:rsidR="00D53CB0" w:rsidRDefault="00D53CB0" w:rsidP="00D53CB0">
      <w:pPr>
        <w:pStyle w:val="Odstavecseseznamem"/>
        <w:ind w:left="360"/>
        <w:rPr>
          <w:lang w:eastAsia="cs-CZ"/>
        </w:rPr>
      </w:pPr>
      <w:r w:rsidRPr="006024EA">
        <w:rPr>
          <w:u w:val="single"/>
          <w:lang w:eastAsia="cs-CZ"/>
        </w:rPr>
        <w:t>Výstupy</w:t>
      </w:r>
      <w:r>
        <w:rPr>
          <w:lang w:eastAsia="cs-CZ"/>
        </w:rPr>
        <w:t>:</w:t>
      </w:r>
    </w:p>
    <w:p w:rsidR="00D53CB0" w:rsidRDefault="00D53CB0" w:rsidP="00A60AC9">
      <w:pPr>
        <w:pStyle w:val="Odstavecseseznamem"/>
        <w:numPr>
          <w:ilvl w:val="0"/>
          <w:numId w:val="56"/>
        </w:numPr>
        <w:rPr>
          <w:lang w:eastAsia="cs-CZ"/>
        </w:rPr>
      </w:pPr>
      <w:r>
        <w:rPr>
          <w:lang w:eastAsia="cs-CZ"/>
        </w:rPr>
        <w:t>p</w:t>
      </w:r>
      <w:r w:rsidRPr="008E3058">
        <w:rPr>
          <w:lang w:eastAsia="cs-CZ"/>
        </w:rPr>
        <w:t xml:space="preserve">očet </w:t>
      </w:r>
      <w:r>
        <w:rPr>
          <w:lang w:eastAsia="cs-CZ"/>
        </w:rPr>
        <w:t>podpořených osob/poskytovatelů;</w:t>
      </w:r>
    </w:p>
    <w:p w:rsidR="00D53CB0" w:rsidRDefault="00D53CB0" w:rsidP="00A60AC9">
      <w:pPr>
        <w:pStyle w:val="Odstavecseseznamem"/>
        <w:numPr>
          <w:ilvl w:val="0"/>
          <w:numId w:val="56"/>
        </w:numPr>
        <w:rPr>
          <w:lang w:eastAsia="cs-CZ"/>
        </w:rPr>
      </w:pPr>
      <w:r w:rsidRPr="008E3058">
        <w:rPr>
          <w:lang w:eastAsia="cs-CZ"/>
        </w:rPr>
        <w:t>počet míst upravených/vz</w:t>
      </w:r>
      <w:r>
        <w:rPr>
          <w:lang w:eastAsia="cs-CZ"/>
        </w:rPr>
        <w:t>niklých pro dané místní služby;</w:t>
      </w:r>
    </w:p>
    <w:p w:rsidR="00D53CB0" w:rsidRPr="008E3058" w:rsidRDefault="00D53CB0" w:rsidP="00A60AC9">
      <w:pPr>
        <w:pStyle w:val="Odstavecseseznamem"/>
        <w:numPr>
          <w:ilvl w:val="0"/>
          <w:numId w:val="56"/>
        </w:numPr>
        <w:rPr>
          <w:lang w:eastAsia="cs-CZ"/>
        </w:rPr>
      </w:pPr>
      <w:r w:rsidRPr="008E3058">
        <w:rPr>
          <w:lang w:eastAsia="cs-CZ"/>
        </w:rPr>
        <w:t>kapacita/plo</w:t>
      </w:r>
      <w:r>
        <w:rPr>
          <w:lang w:eastAsia="cs-CZ"/>
        </w:rPr>
        <w:t>cha interiérů míst upravených.</w:t>
      </w:r>
    </w:p>
    <w:p w:rsidR="00D53CB0" w:rsidRDefault="00D53CB0" w:rsidP="00D53CB0">
      <w:pPr>
        <w:pStyle w:val="Odstavecseseznamem"/>
        <w:ind w:left="360"/>
        <w:rPr>
          <w:lang w:eastAsia="cs-CZ"/>
        </w:rPr>
      </w:pPr>
      <w:r w:rsidRPr="006024EA">
        <w:rPr>
          <w:u w:val="single"/>
          <w:lang w:eastAsia="cs-CZ"/>
        </w:rPr>
        <w:t>Výsledky</w:t>
      </w:r>
      <w:r>
        <w:rPr>
          <w:lang w:eastAsia="cs-CZ"/>
        </w:rPr>
        <w:t>:</w:t>
      </w:r>
    </w:p>
    <w:p w:rsidR="00D53CB0" w:rsidRDefault="00D53CB0" w:rsidP="00A60AC9">
      <w:pPr>
        <w:pStyle w:val="Odstavecseseznamem"/>
        <w:numPr>
          <w:ilvl w:val="0"/>
          <w:numId w:val="56"/>
        </w:numPr>
        <w:rPr>
          <w:lang w:eastAsia="cs-CZ"/>
        </w:rPr>
      </w:pPr>
      <w:r w:rsidRPr="008E3058">
        <w:rPr>
          <w:lang w:eastAsia="cs-CZ"/>
        </w:rPr>
        <w:t>počet pracovních míst vzniklý</w:t>
      </w:r>
      <w:r>
        <w:rPr>
          <w:lang w:eastAsia="cs-CZ"/>
        </w:rPr>
        <w:t>ch u podpořených poskytovatelů;</w:t>
      </w:r>
    </w:p>
    <w:p w:rsidR="00D53CB0" w:rsidRDefault="00D53CB0" w:rsidP="00A60AC9">
      <w:pPr>
        <w:pStyle w:val="Odstavecseseznamem"/>
        <w:numPr>
          <w:ilvl w:val="0"/>
          <w:numId w:val="56"/>
        </w:numPr>
        <w:rPr>
          <w:lang w:eastAsia="cs-CZ"/>
        </w:rPr>
      </w:pPr>
      <w:r w:rsidRPr="008E3058">
        <w:rPr>
          <w:lang w:eastAsia="cs-CZ"/>
        </w:rPr>
        <w:lastRenderedPageBreak/>
        <w:t>po</w:t>
      </w:r>
      <w:r>
        <w:rPr>
          <w:lang w:eastAsia="cs-CZ"/>
        </w:rPr>
        <w:t>čet podpořených osob-uživatelů;</w:t>
      </w:r>
    </w:p>
    <w:p w:rsidR="00D53CB0" w:rsidRPr="008E3058" w:rsidRDefault="00D53CB0" w:rsidP="00A60AC9">
      <w:pPr>
        <w:pStyle w:val="Odstavecseseznamem"/>
        <w:numPr>
          <w:ilvl w:val="0"/>
          <w:numId w:val="56"/>
        </w:numPr>
        <w:rPr>
          <w:lang w:eastAsia="cs-CZ"/>
        </w:rPr>
      </w:pPr>
      <w:r w:rsidRPr="008E3058">
        <w:rPr>
          <w:lang w:eastAsia="cs-CZ"/>
        </w:rPr>
        <w:t>počet nových/rozšířených služeb pro uživatele v dané obci (případně počet hodin ne</w:t>
      </w:r>
      <w:r>
        <w:rPr>
          <w:lang w:eastAsia="cs-CZ"/>
        </w:rPr>
        <w:t>bo kapacita).</w:t>
      </w:r>
    </w:p>
    <w:p w:rsidR="00D53CB0" w:rsidRDefault="00D53CB0" w:rsidP="00D53CB0">
      <w:pPr>
        <w:pStyle w:val="Odstavecseseznamem"/>
        <w:ind w:left="360"/>
        <w:rPr>
          <w:lang w:eastAsia="cs-CZ"/>
        </w:rPr>
      </w:pPr>
      <w:r w:rsidRPr="006024EA">
        <w:rPr>
          <w:u w:val="single"/>
          <w:lang w:eastAsia="cs-CZ"/>
        </w:rPr>
        <w:t>Dopad</w:t>
      </w:r>
      <w:r>
        <w:rPr>
          <w:lang w:eastAsia="cs-CZ"/>
        </w:rPr>
        <w:t>:</w:t>
      </w:r>
    </w:p>
    <w:p w:rsidR="00D53CB0" w:rsidRDefault="00D53CB0" w:rsidP="00A60AC9">
      <w:pPr>
        <w:pStyle w:val="Odstavecseseznamem"/>
        <w:numPr>
          <w:ilvl w:val="0"/>
          <w:numId w:val="56"/>
        </w:numPr>
        <w:rPr>
          <w:lang w:eastAsia="cs-CZ"/>
        </w:rPr>
      </w:pPr>
      <w:r w:rsidRPr="008E3058">
        <w:rPr>
          <w:lang w:eastAsia="cs-CZ"/>
        </w:rPr>
        <w:t>atraktivita, tj. poměr hodnocení cílového/výchozího stavu uživateli a obyvat</w:t>
      </w:r>
      <w:r>
        <w:rPr>
          <w:lang w:eastAsia="cs-CZ"/>
        </w:rPr>
        <w:t>eli, kde výchozí stav je 100 %;</w:t>
      </w:r>
    </w:p>
    <w:p w:rsidR="00D53CB0" w:rsidRDefault="00D53CB0" w:rsidP="00A60AC9">
      <w:pPr>
        <w:pStyle w:val="Odstavecseseznamem"/>
        <w:numPr>
          <w:ilvl w:val="0"/>
          <w:numId w:val="56"/>
        </w:numPr>
        <w:rPr>
          <w:lang w:eastAsia="cs-CZ"/>
        </w:rPr>
      </w:pPr>
      <w:r w:rsidRPr="008E3058">
        <w:rPr>
          <w:lang w:eastAsia="cs-CZ"/>
        </w:rPr>
        <w:t>podíl aktivizovaných uživatelů z dané cíl</w:t>
      </w:r>
      <w:r>
        <w:rPr>
          <w:lang w:eastAsia="cs-CZ"/>
        </w:rPr>
        <w:t>ové skupiny mezi obyvateli obce.</w:t>
      </w:r>
    </w:p>
    <w:p w:rsidR="00D53CB0" w:rsidRPr="00022D24" w:rsidRDefault="00D53CB0" w:rsidP="00D53CB0">
      <w:pPr>
        <w:pStyle w:val="Nadpis3"/>
      </w:pPr>
      <w:bookmarkStart w:id="52" w:name="_Toc430006522"/>
      <w:r w:rsidRPr="00022D24">
        <w:t>Oblast Infrastruktura</w:t>
      </w:r>
      <w:bookmarkEnd w:id="52"/>
    </w:p>
    <w:p w:rsidR="00D53CB0" w:rsidRDefault="00D53CB0" w:rsidP="00D53CB0">
      <w:pPr>
        <w:pStyle w:val="Odstavecseseznamem"/>
        <w:ind w:left="360"/>
        <w:rPr>
          <w:b/>
          <w:lang w:eastAsia="cs-CZ"/>
        </w:rPr>
      </w:pPr>
      <w:r w:rsidRPr="006024EA">
        <w:rPr>
          <w:b/>
          <w:lang w:eastAsia="cs-CZ"/>
        </w:rPr>
        <w:t>Cíl</w:t>
      </w:r>
    </w:p>
    <w:p w:rsidR="00D53CB0" w:rsidRPr="008E3058" w:rsidRDefault="00D53CB0" w:rsidP="00D53CB0">
      <w:pPr>
        <w:rPr>
          <w:lang w:eastAsia="cs-CZ"/>
        </w:rPr>
      </w:pPr>
      <w:r w:rsidRPr="008E3058">
        <w:rPr>
          <w:lang w:eastAsia="cs-CZ"/>
        </w:rPr>
        <w:t>V regionu dojde k</w:t>
      </w:r>
      <w:r>
        <w:rPr>
          <w:lang w:eastAsia="cs-CZ"/>
        </w:rPr>
        <w:t xml:space="preserve"> vybudování nebo</w:t>
      </w:r>
      <w:r w:rsidRPr="008E3058">
        <w:rPr>
          <w:lang w:eastAsia="cs-CZ"/>
        </w:rPr>
        <w:t xml:space="preserve"> </w:t>
      </w:r>
      <w:r>
        <w:rPr>
          <w:lang w:eastAsia="cs-CZ"/>
        </w:rPr>
        <w:t>rekonstrukci</w:t>
      </w:r>
      <w:r w:rsidRPr="008E3058">
        <w:rPr>
          <w:lang w:eastAsia="cs-CZ"/>
        </w:rPr>
        <w:t xml:space="preserve"> místních komunikací pro</w:t>
      </w:r>
      <w:r>
        <w:rPr>
          <w:lang w:eastAsia="cs-CZ"/>
        </w:rPr>
        <w:t xml:space="preserve"> běžnou i bezmotorovou dopravu v rozsahu</w:t>
      </w:r>
      <w:r w:rsidRPr="008E3058">
        <w:rPr>
          <w:lang w:eastAsia="cs-CZ"/>
        </w:rPr>
        <w:t xml:space="preserve"> a odstranění problémových míst. Zárove</w:t>
      </w:r>
      <w:r>
        <w:rPr>
          <w:lang w:eastAsia="cs-CZ"/>
        </w:rPr>
        <w:t>ň se upraví a veřejnosti otevře</w:t>
      </w:r>
      <w:r w:rsidRPr="008E3058">
        <w:rPr>
          <w:lang w:eastAsia="cs-CZ"/>
        </w:rPr>
        <w:t xml:space="preserve"> upravených klubových</w:t>
      </w:r>
      <w:r>
        <w:rPr>
          <w:lang w:eastAsia="cs-CZ"/>
        </w:rPr>
        <w:t>, sportovních</w:t>
      </w:r>
      <w:r w:rsidRPr="008E3058">
        <w:rPr>
          <w:lang w:eastAsia="cs-CZ"/>
        </w:rPr>
        <w:t xml:space="preserve"> a občanských kapacit</w:t>
      </w:r>
      <w:r>
        <w:rPr>
          <w:lang w:eastAsia="cs-CZ"/>
        </w:rPr>
        <w:t xml:space="preserve"> (Komunitních prostor).</w:t>
      </w:r>
    </w:p>
    <w:p w:rsidR="00D53CB0" w:rsidRDefault="00D53CB0" w:rsidP="00D53CB0">
      <w:pPr>
        <w:pStyle w:val="Odstavecseseznamem"/>
        <w:ind w:left="360"/>
        <w:rPr>
          <w:b/>
          <w:lang w:eastAsia="cs-CZ"/>
        </w:rPr>
      </w:pPr>
      <w:r w:rsidRPr="006024EA">
        <w:rPr>
          <w:b/>
          <w:lang w:eastAsia="cs-CZ"/>
        </w:rPr>
        <w:t>Podoblasti</w:t>
      </w:r>
    </w:p>
    <w:p w:rsidR="00D53CB0" w:rsidRPr="00414738" w:rsidRDefault="00D53CB0" w:rsidP="00D53CB0">
      <w:pPr>
        <w:rPr>
          <w:lang w:eastAsia="cs-CZ"/>
        </w:rPr>
      </w:pPr>
      <w:r w:rsidRPr="00414738">
        <w:rPr>
          <w:lang w:eastAsia="cs-CZ"/>
        </w:rPr>
        <w:t>Územně plánovací dokumentace a faktická připravenost infrastruktury obcí umožňuje plynule v rozumných lhůtách realizovat investiční záměry, aniž by vznikala úzká hrdla, přetěžování, obtěžování a nežádoucí jevy.</w:t>
      </w:r>
    </w:p>
    <w:p w:rsidR="00D53CB0" w:rsidRPr="00414738" w:rsidRDefault="00D53CB0" w:rsidP="00D53CB0">
      <w:pPr>
        <w:rPr>
          <w:lang w:eastAsia="cs-CZ"/>
        </w:rPr>
      </w:pPr>
      <w:r w:rsidRPr="00414738">
        <w:rPr>
          <w:lang w:eastAsia="cs-CZ"/>
        </w:rPr>
        <w:t>Technická řešení veřejné infrastruktury a investic jsou přiměřená a provozně udržitelná bez spoléhání na jednorázové a nahodilé zdroje. Zejména jsou domácnostem přibližovány kanalizační sítě, plynofikace nebo zázemí pro užití biopaliv.</w:t>
      </w:r>
    </w:p>
    <w:p w:rsidR="00D53CB0" w:rsidRPr="00414738" w:rsidRDefault="00D53CB0" w:rsidP="00D53CB0">
      <w:pPr>
        <w:rPr>
          <w:lang w:eastAsia="cs-CZ"/>
        </w:rPr>
      </w:pPr>
      <w:r w:rsidRPr="00414738">
        <w:rPr>
          <w:lang w:eastAsia="cs-CZ"/>
        </w:rPr>
        <w:t>Nadřazené investiční akce jsou včas promítnuty do místních plánů, minimalizovány místní obtíže z jejich realizace, kompenzovány vícenáklady vzniklé v obcích a naopak obce výstupy těchto investic využívají svými navazujícími projekty.</w:t>
      </w:r>
    </w:p>
    <w:p w:rsidR="00D53CB0" w:rsidRDefault="00D53CB0" w:rsidP="00A60AC9">
      <w:pPr>
        <w:pStyle w:val="Odstavecseseznamem"/>
        <w:numPr>
          <w:ilvl w:val="0"/>
          <w:numId w:val="67"/>
        </w:numPr>
        <w:suppressAutoHyphens w:val="0"/>
        <w:contextualSpacing/>
        <w:rPr>
          <w:rFonts w:eastAsia="Arial Unicode MS" w:cs="Arial Unicode MS"/>
        </w:rPr>
      </w:pPr>
      <w:r>
        <w:rPr>
          <w:rFonts w:eastAsia="Arial Unicode MS" w:cs="Arial Unicode MS"/>
        </w:rPr>
        <w:t>Infrastruktura v obcích</w:t>
      </w:r>
    </w:p>
    <w:p w:rsidR="00D53CB0" w:rsidRPr="00081AFD" w:rsidRDefault="00D53CB0" w:rsidP="00D53CB0">
      <w:pPr>
        <w:pStyle w:val="Odstavecseseznamem"/>
        <w:suppressAutoHyphens w:val="0"/>
        <w:spacing w:after="200"/>
        <w:ind w:left="1146"/>
        <w:rPr>
          <w:rFonts w:eastAsia="Arial Unicode MS" w:cs="Arial Unicode MS"/>
        </w:rPr>
      </w:pPr>
      <w:r w:rsidRPr="00081AFD">
        <w:rPr>
          <w:rFonts w:eastAsia="Arial Unicode MS" w:cs="Arial Unicode MS"/>
        </w:rPr>
        <w:t xml:space="preserve">Zlepšovat a udržovat fyzickou infrastrukturu místní mobility s důrazem na specifické potřeby a omezení stárnoucí populace. Pro starší i pro děti bude nutno </w:t>
      </w:r>
      <w:r w:rsidRPr="00081AFD">
        <w:rPr>
          <w:rFonts w:eastAsia="Arial Unicode MS" w:cs="Arial Unicode MS"/>
        </w:rPr>
        <w:lastRenderedPageBreak/>
        <w:t>k bezbariérovosti přičítat veřejné osvětlení, zábrany, pomocné vodorovné značení atd.</w:t>
      </w:r>
    </w:p>
    <w:p w:rsidR="00D53CB0" w:rsidRDefault="00D53CB0" w:rsidP="00A60AC9">
      <w:pPr>
        <w:pStyle w:val="Odstavecseseznamem"/>
        <w:numPr>
          <w:ilvl w:val="0"/>
          <w:numId w:val="67"/>
        </w:numPr>
        <w:suppressAutoHyphens w:val="0"/>
        <w:spacing w:after="200"/>
      </w:pPr>
      <w:r w:rsidRPr="002146EE">
        <w:t>Veřejná prostranství</w:t>
      </w:r>
    </w:p>
    <w:p w:rsidR="00D53CB0" w:rsidRPr="002146EE" w:rsidRDefault="00D53CB0" w:rsidP="00A60AC9">
      <w:pPr>
        <w:pStyle w:val="Odstavecseseznamem"/>
        <w:numPr>
          <w:ilvl w:val="0"/>
          <w:numId w:val="67"/>
        </w:numPr>
        <w:suppressAutoHyphens w:val="0"/>
        <w:spacing w:after="200"/>
      </w:pPr>
      <w:r w:rsidRPr="002146EE">
        <w:t>Technická infrastruktura</w:t>
      </w:r>
    </w:p>
    <w:p w:rsidR="00D53CB0" w:rsidRPr="002146EE" w:rsidRDefault="00D53CB0" w:rsidP="00A60AC9">
      <w:pPr>
        <w:pStyle w:val="Odstavecseseznamem"/>
        <w:numPr>
          <w:ilvl w:val="0"/>
          <w:numId w:val="67"/>
        </w:numPr>
        <w:suppressAutoHyphens w:val="0"/>
        <w:spacing w:after="200"/>
      </w:pPr>
      <w:r w:rsidRPr="002146EE">
        <w:t>Komunitní prostory</w:t>
      </w:r>
    </w:p>
    <w:p w:rsidR="00D53CB0" w:rsidRPr="00022D24" w:rsidRDefault="00D53CB0" w:rsidP="00D53CB0">
      <w:pPr>
        <w:pStyle w:val="Odstavecseseznamem"/>
        <w:suppressAutoHyphens w:val="0"/>
        <w:ind w:left="1146"/>
        <w:contextualSpacing/>
        <w:rPr>
          <w:rFonts w:eastAsia="Arial Unicode MS" w:cs="Arial Unicode MS"/>
        </w:rPr>
      </w:pPr>
      <w:r w:rsidRPr="00022D24">
        <w:rPr>
          <w:rFonts w:eastAsia="Arial Unicode MS" w:cs="Arial Unicode MS"/>
        </w:rPr>
        <w:t>Podněcovat místní pospolitost účinnými prostředky, místy pro setkávání, společnými činnostmi, prezentacemi zájmů. Přitom zvlášť aktivizovat starší lidi a využít jich i mezigeneračně. Ke společným zájmům patří také zlepšování technického zázemí škol (staveb i vybavení) spolu s navazující mimoškolní výchovou a pomocí. Aby se jednotlivci či skupiny nevylučovali z místních komunit ani socioekonomicky nezaostávali.</w:t>
      </w:r>
    </w:p>
    <w:p w:rsidR="00D53CB0" w:rsidRDefault="00D53CB0" w:rsidP="00A60AC9">
      <w:pPr>
        <w:pStyle w:val="Odstavecseseznamem"/>
        <w:numPr>
          <w:ilvl w:val="0"/>
          <w:numId w:val="67"/>
        </w:numPr>
        <w:suppressAutoHyphens w:val="0"/>
        <w:spacing w:after="200"/>
      </w:pPr>
      <w:r w:rsidRPr="002146EE">
        <w:t>Udržování a využívání objektů veřejného zájmu</w:t>
      </w:r>
    </w:p>
    <w:p w:rsidR="00D53CB0" w:rsidRPr="002146EE" w:rsidRDefault="00D53CB0" w:rsidP="00A60AC9">
      <w:pPr>
        <w:pStyle w:val="Odstavecseseznamem"/>
        <w:numPr>
          <w:ilvl w:val="0"/>
          <w:numId w:val="67"/>
        </w:numPr>
        <w:suppressAutoHyphens w:val="0"/>
        <w:spacing w:after="200"/>
      </w:pPr>
      <w:r>
        <w:t>Infrastruktura zabraňující živelným událostem nebo snižující následky</w:t>
      </w:r>
    </w:p>
    <w:p w:rsidR="00D53CB0" w:rsidRPr="006024EA" w:rsidRDefault="00D53CB0" w:rsidP="00D53CB0">
      <w:pPr>
        <w:pStyle w:val="Odstavecseseznamem"/>
        <w:ind w:left="360"/>
        <w:rPr>
          <w:b/>
          <w:lang w:eastAsia="cs-CZ"/>
        </w:rPr>
      </w:pPr>
      <w:r>
        <w:rPr>
          <w:b/>
          <w:lang w:eastAsia="cs-CZ"/>
        </w:rPr>
        <w:t>Monitorovací schéma</w:t>
      </w:r>
    </w:p>
    <w:p w:rsidR="00D53CB0" w:rsidRDefault="00D53CB0" w:rsidP="00D53CB0">
      <w:pPr>
        <w:rPr>
          <w:lang w:eastAsia="cs-CZ"/>
        </w:rPr>
      </w:pPr>
      <w:r w:rsidRPr="001D0FC3">
        <w:rPr>
          <w:u w:val="single"/>
          <w:lang w:eastAsia="cs-CZ"/>
        </w:rPr>
        <w:t>Výstupy</w:t>
      </w:r>
      <w:r>
        <w:rPr>
          <w:lang w:eastAsia="cs-CZ"/>
        </w:rPr>
        <w:t>:</w:t>
      </w:r>
    </w:p>
    <w:p w:rsidR="00D53CB0" w:rsidRDefault="00D53CB0" w:rsidP="00A60AC9">
      <w:pPr>
        <w:pStyle w:val="Odstavecseseznamem"/>
        <w:numPr>
          <w:ilvl w:val="0"/>
          <w:numId w:val="55"/>
        </w:numPr>
        <w:rPr>
          <w:lang w:eastAsia="cs-CZ"/>
        </w:rPr>
      </w:pPr>
      <w:r>
        <w:rPr>
          <w:lang w:eastAsia="cs-CZ"/>
        </w:rPr>
        <w:t>P</w:t>
      </w:r>
      <w:r w:rsidRPr="008E3058">
        <w:rPr>
          <w:lang w:eastAsia="cs-CZ"/>
        </w:rPr>
        <w:t>locha</w:t>
      </w:r>
      <w:r>
        <w:rPr>
          <w:lang w:eastAsia="cs-CZ"/>
        </w:rPr>
        <w:t xml:space="preserve"> prostranství</w:t>
      </w:r>
      <w:r w:rsidRPr="008E3058">
        <w:rPr>
          <w:lang w:eastAsia="cs-CZ"/>
        </w:rPr>
        <w:t xml:space="preserve"> nebo délka</w:t>
      </w:r>
      <w:r>
        <w:rPr>
          <w:lang w:eastAsia="cs-CZ"/>
        </w:rPr>
        <w:t xml:space="preserve"> tras/cest nových nebo upravených v obcích nebo mezi obcemi</w:t>
      </w:r>
      <w:r w:rsidRPr="008E3058">
        <w:rPr>
          <w:lang w:eastAsia="cs-CZ"/>
        </w:rPr>
        <w:t xml:space="preserve">; </w:t>
      </w:r>
    </w:p>
    <w:p w:rsidR="00D53CB0" w:rsidRDefault="00D53CB0" w:rsidP="00A60AC9">
      <w:pPr>
        <w:pStyle w:val="Odstavecseseznamem"/>
        <w:numPr>
          <w:ilvl w:val="0"/>
          <w:numId w:val="55"/>
        </w:numPr>
        <w:rPr>
          <w:lang w:eastAsia="cs-CZ"/>
        </w:rPr>
      </w:pPr>
      <w:r w:rsidRPr="008E3058">
        <w:rPr>
          <w:lang w:eastAsia="cs-CZ"/>
        </w:rPr>
        <w:t>počet bodových zlepšení v obci, tj. bezbariérových úprav, zpřehledněn</w:t>
      </w:r>
      <w:r>
        <w:rPr>
          <w:lang w:eastAsia="cs-CZ"/>
        </w:rPr>
        <w:t>í separace, bezpečnostní prvky;</w:t>
      </w:r>
    </w:p>
    <w:p w:rsidR="00D53CB0" w:rsidRDefault="00D53CB0" w:rsidP="00A60AC9">
      <w:pPr>
        <w:pStyle w:val="Odstavecseseznamem"/>
        <w:numPr>
          <w:ilvl w:val="0"/>
          <w:numId w:val="55"/>
        </w:numPr>
        <w:rPr>
          <w:lang w:eastAsia="cs-CZ"/>
        </w:rPr>
      </w:pPr>
      <w:r w:rsidRPr="008E3058">
        <w:rPr>
          <w:lang w:eastAsia="cs-CZ"/>
        </w:rPr>
        <w:t>počet míst nebo plocha interiérů uprave</w:t>
      </w:r>
      <w:r>
        <w:rPr>
          <w:lang w:eastAsia="cs-CZ"/>
        </w:rPr>
        <w:t>ných pro komunitní a dané účely;</w:t>
      </w:r>
    </w:p>
    <w:p w:rsidR="00D53CB0" w:rsidRDefault="00D53CB0" w:rsidP="00A60AC9">
      <w:pPr>
        <w:pStyle w:val="Odstavecseseznamem"/>
        <w:numPr>
          <w:ilvl w:val="0"/>
          <w:numId w:val="55"/>
        </w:numPr>
        <w:rPr>
          <w:lang w:eastAsia="cs-CZ"/>
        </w:rPr>
      </w:pPr>
      <w:r>
        <w:rPr>
          <w:lang w:eastAsia="cs-CZ"/>
        </w:rPr>
        <w:t>počet podpořených osob/uživatelů;</w:t>
      </w:r>
    </w:p>
    <w:p w:rsidR="00D53CB0" w:rsidRPr="008E3058" w:rsidRDefault="00D53CB0" w:rsidP="00A60AC9">
      <w:pPr>
        <w:pStyle w:val="Odstavecseseznamem"/>
        <w:numPr>
          <w:ilvl w:val="0"/>
          <w:numId w:val="55"/>
        </w:numPr>
        <w:rPr>
          <w:lang w:eastAsia="cs-CZ"/>
        </w:rPr>
      </w:pPr>
      <w:r>
        <w:rPr>
          <w:lang w:eastAsia="cs-CZ"/>
        </w:rPr>
        <w:t>počet rekonstruovaných kulturních/historických památek.</w:t>
      </w:r>
    </w:p>
    <w:p w:rsidR="00D53CB0" w:rsidRDefault="00D53CB0" w:rsidP="00D53CB0">
      <w:pPr>
        <w:rPr>
          <w:lang w:eastAsia="cs-CZ"/>
        </w:rPr>
      </w:pPr>
      <w:r w:rsidRPr="001D0FC3">
        <w:rPr>
          <w:u w:val="single"/>
          <w:lang w:eastAsia="cs-CZ"/>
        </w:rPr>
        <w:t>Výsledky</w:t>
      </w:r>
      <w:r>
        <w:rPr>
          <w:lang w:eastAsia="cs-CZ"/>
        </w:rPr>
        <w:t>:</w:t>
      </w:r>
    </w:p>
    <w:p w:rsidR="00D53CB0" w:rsidRDefault="00D53CB0" w:rsidP="00A60AC9">
      <w:pPr>
        <w:pStyle w:val="Odstavecseseznamem"/>
        <w:numPr>
          <w:ilvl w:val="0"/>
          <w:numId w:val="56"/>
        </w:numPr>
        <w:rPr>
          <w:lang w:eastAsia="cs-CZ"/>
        </w:rPr>
      </w:pPr>
      <w:r w:rsidRPr="008E3058">
        <w:rPr>
          <w:lang w:eastAsia="cs-CZ"/>
        </w:rPr>
        <w:t>počet</w:t>
      </w:r>
      <w:r>
        <w:rPr>
          <w:lang w:eastAsia="cs-CZ"/>
        </w:rPr>
        <w:t xml:space="preserve"> uživatelů nové/upravené infrastruktury (za rok);</w:t>
      </w:r>
    </w:p>
    <w:p w:rsidR="00D53CB0" w:rsidRDefault="00D53CB0" w:rsidP="00A60AC9">
      <w:pPr>
        <w:pStyle w:val="Odstavecseseznamem"/>
        <w:numPr>
          <w:ilvl w:val="0"/>
          <w:numId w:val="56"/>
        </w:numPr>
        <w:rPr>
          <w:lang w:eastAsia="cs-CZ"/>
        </w:rPr>
      </w:pPr>
      <w:r w:rsidRPr="008E3058">
        <w:rPr>
          <w:lang w:eastAsia="cs-CZ"/>
        </w:rPr>
        <w:t>počet akcí, resp. návště</w:t>
      </w:r>
      <w:r>
        <w:rPr>
          <w:lang w:eastAsia="cs-CZ"/>
        </w:rPr>
        <w:t>vníků obcí v nových kapacitách (za rok);;</w:t>
      </w:r>
    </w:p>
    <w:p w:rsidR="00D53CB0" w:rsidRPr="008E3058" w:rsidRDefault="00D53CB0" w:rsidP="00A60AC9">
      <w:pPr>
        <w:pStyle w:val="Odstavecseseznamem"/>
        <w:numPr>
          <w:ilvl w:val="0"/>
          <w:numId w:val="56"/>
        </w:numPr>
        <w:rPr>
          <w:lang w:eastAsia="cs-CZ"/>
        </w:rPr>
      </w:pPr>
      <w:r w:rsidRPr="008E3058">
        <w:rPr>
          <w:lang w:eastAsia="cs-CZ"/>
        </w:rPr>
        <w:lastRenderedPageBreak/>
        <w:t>počet NNO</w:t>
      </w:r>
      <w:r>
        <w:rPr>
          <w:lang w:eastAsia="cs-CZ"/>
        </w:rPr>
        <w:t xml:space="preserve"> (nestátní nezisková organizace)</w:t>
      </w:r>
      <w:r w:rsidRPr="008E3058">
        <w:rPr>
          <w:lang w:eastAsia="cs-CZ"/>
        </w:rPr>
        <w:t xml:space="preserve">, které </w:t>
      </w:r>
      <w:r>
        <w:rPr>
          <w:lang w:eastAsia="cs-CZ"/>
        </w:rPr>
        <w:t>aktivně využívají nové kapacity.</w:t>
      </w:r>
    </w:p>
    <w:p w:rsidR="00D53CB0" w:rsidRDefault="00D53CB0" w:rsidP="00D53CB0">
      <w:pPr>
        <w:rPr>
          <w:lang w:eastAsia="cs-CZ"/>
        </w:rPr>
      </w:pPr>
      <w:r w:rsidRPr="001D0FC3">
        <w:rPr>
          <w:u w:val="single"/>
          <w:lang w:eastAsia="cs-CZ"/>
        </w:rPr>
        <w:t>Dopady</w:t>
      </w:r>
    </w:p>
    <w:p w:rsidR="00D53CB0" w:rsidRDefault="00D53CB0" w:rsidP="00A60AC9">
      <w:pPr>
        <w:pStyle w:val="Odstavecseseznamem"/>
        <w:numPr>
          <w:ilvl w:val="0"/>
          <w:numId w:val="56"/>
        </w:numPr>
        <w:rPr>
          <w:lang w:eastAsia="cs-CZ"/>
        </w:rPr>
      </w:pPr>
      <w:r w:rsidRPr="008E3058">
        <w:rPr>
          <w:lang w:eastAsia="cs-CZ"/>
        </w:rPr>
        <w:t>atraktivita, tj. poměr hodnocení cílového/výchozího stavu uživateli a obyvat</w:t>
      </w:r>
      <w:r>
        <w:rPr>
          <w:lang w:eastAsia="cs-CZ"/>
        </w:rPr>
        <w:t>eli, kde výchozí stav je 100 %;</w:t>
      </w:r>
    </w:p>
    <w:p w:rsidR="00D53CB0" w:rsidRPr="008E3058" w:rsidRDefault="00D53CB0" w:rsidP="00A60AC9">
      <w:pPr>
        <w:pStyle w:val="Odstavecseseznamem"/>
        <w:numPr>
          <w:ilvl w:val="0"/>
          <w:numId w:val="56"/>
        </w:numPr>
        <w:rPr>
          <w:lang w:eastAsia="cs-CZ"/>
        </w:rPr>
      </w:pPr>
      <w:r w:rsidRPr="008E3058">
        <w:rPr>
          <w:lang w:eastAsia="cs-CZ"/>
        </w:rPr>
        <w:t>zvýšení návštěvnosti (počtu) nebo frekvence užívání dané infrastruktury</w:t>
      </w:r>
      <w:r>
        <w:rPr>
          <w:lang w:eastAsia="cs-CZ"/>
        </w:rPr>
        <w:t xml:space="preserve"> (za rok).</w:t>
      </w:r>
    </w:p>
    <w:p w:rsidR="00D53CB0" w:rsidRPr="000E449E" w:rsidRDefault="00D53CB0" w:rsidP="00D53CB0">
      <w:pPr>
        <w:rPr>
          <w:lang w:eastAsia="cs-CZ"/>
        </w:rPr>
      </w:pPr>
    </w:p>
    <w:p w:rsidR="00D53CB0" w:rsidRDefault="00D53CB0" w:rsidP="00D53CB0">
      <w:pPr>
        <w:pStyle w:val="Nadpis3"/>
        <w:rPr>
          <w:lang w:eastAsia="cs-CZ"/>
        </w:rPr>
      </w:pPr>
      <w:bookmarkStart w:id="53" w:name="_Toc430006523"/>
      <w:r>
        <w:rPr>
          <w:lang w:eastAsia="cs-CZ"/>
        </w:rPr>
        <w:t>Oblast Životní prostředí</w:t>
      </w:r>
      <w:bookmarkEnd w:id="53"/>
    </w:p>
    <w:p w:rsidR="00D53CB0" w:rsidRDefault="00D53CB0" w:rsidP="00D53CB0">
      <w:pPr>
        <w:pStyle w:val="Odstavecseseznamem"/>
        <w:ind w:left="360"/>
        <w:rPr>
          <w:b/>
          <w:lang w:eastAsia="cs-CZ"/>
        </w:rPr>
      </w:pPr>
      <w:r w:rsidRPr="006024EA">
        <w:rPr>
          <w:b/>
          <w:lang w:eastAsia="cs-CZ"/>
        </w:rPr>
        <w:t>Cíl</w:t>
      </w:r>
    </w:p>
    <w:p w:rsidR="00D53CB0" w:rsidRPr="008E3058" w:rsidRDefault="00D53CB0" w:rsidP="00D53CB0">
      <w:pPr>
        <w:rPr>
          <w:lang w:eastAsia="cs-CZ"/>
        </w:rPr>
      </w:pPr>
      <w:r w:rsidRPr="008E3058">
        <w:rPr>
          <w:lang w:eastAsia="cs-CZ"/>
        </w:rPr>
        <w:t xml:space="preserve">Většina obcí a domácností se zapojí do zlepšeného systému nakládání s odpady dalším stupněm separace a užíváním sběrných dvorů. Regenerací projdou nejméně </w:t>
      </w:r>
      <w:r w:rsidRPr="00414738">
        <w:rPr>
          <w:lang w:eastAsia="cs-CZ"/>
        </w:rPr>
        <w:t>(bude stanoveno na základě aktuálních informací o možnostech financování před finalizací strategie)</w:t>
      </w:r>
      <w:r w:rsidRPr="008E3058">
        <w:rPr>
          <w:lang w:eastAsia="cs-CZ"/>
        </w:rPr>
        <w:t xml:space="preserve"> historických útvarů krajinné veřejné zeleně. </w:t>
      </w:r>
    </w:p>
    <w:p w:rsidR="00D53CB0" w:rsidRDefault="00D53CB0" w:rsidP="00D53CB0">
      <w:pPr>
        <w:pStyle w:val="Odstavecseseznamem"/>
        <w:ind w:left="360"/>
        <w:rPr>
          <w:b/>
          <w:lang w:eastAsia="cs-CZ"/>
        </w:rPr>
      </w:pPr>
      <w:r w:rsidRPr="006024EA">
        <w:rPr>
          <w:b/>
          <w:lang w:eastAsia="cs-CZ"/>
        </w:rPr>
        <w:t>Podoblasti</w:t>
      </w:r>
    </w:p>
    <w:p w:rsidR="00D53CB0" w:rsidRDefault="00D53CB0" w:rsidP="00A60AC9">
      <w:pPr>
        <w:pStyle w:val="Odstavecseseznamem"/>
        <w:numPr>
          <w:ilvl w:val="0"/>
          <w:numId w:val="65"/>
        </w:numPr>
        <w:suppressAutoHyphens w:val="0"/>
        <w:spacing w:after="200"/>
        <w:rPr>
          <w:rFonts w:eastAsia="Arial Unicode MS" w:cs="Arial Unicode MS"/>
        </w:rPr>
      </w:pPr>
      <w:r>
        <w:rPr>
          <w:rFonts w:eastAsia="Arial Unicode MS" w:cs="Arial Unicode MS"/>
        </w:rPr>
        <w:t>Zeleň, krajinné prvky, vodní plochy a toky</w:t>
      </w:r>
    </w:p>
    <w:p w:rsidR="00D53CB0" w:rsidRDefault="00D53CB0" w:rsidP="00D53CB0">
      <w:pPr>
        <w:pStyle w:val="Odstavecseseznamem"/>
        <w:suppressAutoHyphens w:val="0"/>
        <w:spacing w:after="200"/>
        <w:ind w:left="1080"/>
        <w:rPr>
          <w:rFonts w:eastAsia="Arial Unicode MS" w:cs="Arial Unicode MS"/>
        </w:rPr>
      </w:pPr>
      <w:r w:rsidRPr="00396E8C">
        <w:rPr>
          <w:rFonts w:eastAsia="Arial Unicode MS" w:cs="Arial Unicode MS"/>
        </w:rPr>
        <w:t>Obce i další osoby využívají zdroje k obnově a z</w:t>
      </w:r>
      <w:r>
        <w:rPr>
          <w:rFonts w:eastAsia="Arial Unicode MS" w:cs="Arial Unicode MS"/>
        </w:rPr>
        <w:t>akládání zeleně v intravilánu i </w:t>
      </w:r>
      <w:r w:rsidRPr="00396E8C">
        <w:rPr>
          <w:rFonts w:eastAsia="Arial Unicode MS" w:cs="Arial Unicode MS"/>
        </w:rPr>
        <w:t>extravilánu. Podobně pečují o vodní toky, plochy a retenční schopnosti okolní krajiny.</w:t>
      </w:r>
    </w:p>
    <w:p w:rsidR="00D53CB0" w:rsidRDefault="00D53CB0" w:rsidP="00A60AC9">
      <w:pPr>
        <w:pStyle w:val="Odstavecseseznamem"/>
        <w:numPr>
          <w:ilvl w:val="0"/>
          <w:numId w:val="65"/>
        </w:numPr>
        <w:suppressAutoHyphens w:val="0"/>
        <w:spacing w:after="200"/>
        <w:rPr>
          <w:rFonts w:eastAsia="Arial Unicode MS" w:cs="Arial Unicode MS"/>
        </w:rPr>
      </w:pPr>
      <w:r>
        <w:rPr>
          <w:rFonts w:eastAsia="Arial Unicode MS" w:cs="Arial Unicode MS"/>
        </w:rPr>
        <w:t>Přístupnost krajiny</w:t>
      </w:r>
    </w:p>
    <w:p w:rsidR="00D53CB0" w:rsidRDefault="00D53CB0" w:rsidP="00D53CB0">
      <w:pPr>
        <w:pStyle w:val="Odstavecseseznamem"/>
        <w:suppressAutoHyphens w:val="0"/>
        <w:spacing w:after="200"/>
        <w:ind w:left="1080"/>
        <w:rPr>
          <w:rFonts w:eastAsia="Arial Unicode MS" w:cs="Arial Unicode MS"/>
        </w:rPr>
      </w:pPr>
      <w:r w:rsidRPr="00396E8C">
        <w:rPr>
          <w:rFonts w:eastAsia="Arial Unicode MS" w:cs="Arial Unicode MS"/>
        </w:rPr>
        <w:t>Krajinné hodnoty jsou šetrně zpřístupňovány k rekre</w:t>
      </w:r>
      <w:r>
        <w:rPr>
          <w:rFonts w:eastAsia="Arial Unicode MS" w:cs="Arial Unicode MS"/>
        </w:rPr>
        <w:t>aci a výchově pasivními prvky i </w:t>
      </w:r>
      <w:r w:rsidRPr="00396E8C">
        <w:rPr>
          <w:rFonts w:eastAsia="Arial Unicode MS" w:cs="Arial Unicode MS"/>
        </w:rPr>
        <w:t>organizovanými činnostmi.</w:t>
      </w:r>
    </w:p>
    <w:p w:rsidR="00D53CB0" w:rsidRDefault="00D53CB0" w:rsidP="00A60AC9">
      <w:pPr>
        <w:pStyle w:val="Odstavecseseznamem"/>
        <w:numPr>
          <w:ilvl w:val="0"/>
          <w:numId w:val="65"/>
        </w:numPr>
        <w:suppressAutoHyphens w:val="0"/>
        <w:spacing w:after="200"/>
        <w:rPr>
          <w:rFonts w:eastAsia="Arial Unicode MS" w:cs="Arial Unicode MS"/>
        </w:rPr>
      </w:pPr>
      <w:r>
        <w:rPr>
          <w:rFonts w:eastAsia="Arial Unicode MS" w:cs="Arial Unicode MS"/>
        </w:rPr>
        <w:t>Nakládání s odpady</w:t>
      </w:r>
    </w:p>
    <w:p w:rsidR="00D53CB0" w:rsidRDefault="00D53CB0" w:rsidP="00D53CB0">
      <w:pPr>
        <w:pStyle w:val="Odstavecseseznamem"/>
        <w:suppressAutoHyphens w:val="0"/>
        <w:spacing w:after="200"/>
        <w:ind w:left="1080"/>
        <w:rPr>
          <w:rFonts w:eastAsia="Arial Unicode MS" w:cs="Arial Unicode MS"/>
        </w:rPr>
      </w:pPr>
      <w:r w:rsidRPr="00396E8C">
        <w:rPr>
          <w:rFonts w:eastAsia="Arial Unicode MS" w:cs="Arial Unicode MS"/>
        </w:rPr>
        <w:t>V obcích se rozvíjí technologie a postupy snižující produkci nevyužitých odpadů a umožňující zpětné využívání.</w:t>
      </w:r>
    </w:p>
    <w:p w:rsidR="00D53CB0" w:rsidRPr="006024EA" w:rsidRDefault="00D53CB0" w:rsidP="00D53CB0">
      <w:pPr>
        <w:pStyle w:val="Odstavecseseznamem"/>
        <w:ind w:left="360"/>
        <w:rPr>
          <w:b/>
          <w:lang w:eastAsia="cs-CZ"/>
        </w:rPr>
      </w:pPr>
    </w:p>
    <w:p w:rsidR="00D53CB0" w:rsidRDefault="00D53CB0" w:rsidP="00D53CB0">
      <w:pPr>
        <w:pStyle w:val="Odstavecseseznamem"/>
        <w:ind w:left="360"/>
        <w:rPr>
          <w:b/>
          <w:lang w:eastAsia="cs-CZ"/>
        </w:rPr>
      </w:pPr>
      <w:r>
        <w:rPr>
          <w:b/>
          <w:lang w:eastAsia="cs-CZ"/>
        </w:rPr>
        <w:t>Monitorovací schéma</w:t>
      </w:r>
    </w:p>
    <w:p w:rsidR="00D53CB0" w:rsidRDefault="00D53CB0" w:rsidP="00D53CB0">
      <w:pPr>
        <w:rPr>
          <w:lang w:eastAsia="cs-CZ"/>
        </w:rPr>
      </w:pPr>
      <w:r w:rsidRPr="001D0FC3">
        <w:rPr>
          <w:u w:val="single"/>
          <w:lang w:eastAsia="cs-CZ"/>
        </w:rPr>
        <w:lastRenderedPageBreak/>
        <w:t>Výstupy</w:t>
      </w:r>
      <w:r>
        <w:rPr>
          <w:lang w:eastAsia="cs-CZ"/>
        </w:rPr>
        <w:t>:</w:t>
      </w:r>
    </w:p>
    <w:p w:rsidR="00D53CB0" w:rsidRDefault="00D53CB0" w:rsidP="00A60AC9">
      <w:pPr>
        <w:pStyle w:val="Odstavecseseznamem"/>
        <w:numPr>
          <w:ilvl w:val="0"/>
          <w:numId w:val="57"/>
        </w:numPr>
        <w:rPr>
          <w:lang w:eastAsia="cs-CZ"/>
        </w:rPr>
      </w:pPr>
      <w:r>
        <w:rPr>
          <w:lang w:eastAsia="cs-CZ"/>
        </w:rPr>
        <w:t>d</w:t>
      </w:r>
      <w:r w:rsidRPr="008E3058">
        <w:rPr>
          <w:lang w:eastAsia="cs-CZ"/>
        </w:rPr>
        <w:t>élka</w:t>
      </w:r>
      <w:r>
        <w:rPr>
          <w:lang w:eastAsia="cs-CZ"/>
        </w:rPr>
        <w:t xml:space="preserve"> obnovených/regenerovaných/nových stromořadí;</w:t>
      </w:r>
    </w:p>
    <w:p w:rsidR="00D53CB0" w:rsidRDefault="00D53CB0" w:rsidP="00A60AC9">
      <w:pPr>
        <w:pStyle w:val="Odstavecseseznamem"/>
        <w:numPr>
          <w:ilvl w:val="0"/>
          <w:numId w:val="57"/>
        </w:numPr>
        <w:rPr>
          <w:lang w:eastAsia="cs-CZ"/>
        </w:rPr>
      </w:pPr>
      <w:r>
        <w:rPr>
          <w:lang w:eastAsia="cs-CZ"/>
        </w:rPr>
        <w:t>délka nových/revitalizovaných toků;</w:t>
      </w:r>
    </w:p>
    <w:p w:rsidR="00D53CB0" w:rsidRDefault="00D53CB0" w:rsidP="00A60AC9">
      <w:pPr>
        <w:pStyle w:val="Odstavecseseznamem"/>
        <w:numPr>
          <w:ilvl w:val="0"/>
          <w:numId w:val="57"/>
        </w:numPr>
        <w:rPr>
          <w:lang w:eastAsia="cs-CZ"/>
        </w:rPr>
      </w:pPr>
      <w:r>
        <w:rPr>
          <w:lang w:eastAsia="cs-CZ"/>
        </w:rPr>
        <w:t>plocha nových/revitalizovaných vodních ploch;</w:t>
      </w:r>
    </w:p>
    <w:p w:rsidR="00D53CB0" w:rsidRDefault="00D53CB0" w:rsidP="00A60AC9">
      <w:pPr>
        <w:pStyle w:val="Odstavecseseznamem"/>
        <w:numPr>
          <w:ilvl w:val="0"/>
          <w:numId w:val="57"/>
        </w:numPr>
        <w:rPr>
          <w:lang w:eastAsia="cs-CZ"/>
        </w:rPr>
      </w:pPr>
      <w:r>
        <w:rPr>
          <w:lang w:eastAsia="cs-CZ"/>
        </w:rPr>
        <w:t>plocha krajinných úprav/revitalizací;</w:t>
      </w:r>
    </w:p>
    <w:p w:rsidR="00D53CB0" w:rsidRDefault="00D53CB0" w:rsidP="00A60AC9">
      <w:pPr>
        <w:pStyle w:val="Odstavecseseznamem"/>
        <w:numPr>
          <w:ilvl w:val="0"/>
          <w:numId w:val="57"/>
        </w:numPr>
        <w:rPr>
          <w:lang w:eastAsia="cs-CZ"/>
        </w:rPr>
      </w:pPr>
      <w:r w:rsidRPr="008E3058">
        <w:rPr>
          <w:lang w:eastAsia="cs-CZ"/>
        </w:rPr>
        <w:t xml:space="preserve">počet </w:t>
      </w:r>
      <w:r>
        <w:rPr>
          <w:lang w:eastAsia="cs-CZ"/>
        </w:rPr>
        <w:t>ošetřených památných stromů;</w:t>
      </w:r>
    </w:p>
    <w:p w:rsidR="00D53CB0" w:rsidRDefault="00D53CB0" w:rsidP="00A60AC9">
      <w:pPr>
        <w:pStyle w:val="Odstavecseseznamem"/>
        <w:numPr>
          <w:ilvl w:val="0"/>
          <w:numId w:val="57"/>
        </w:numPr>
        <w:rPr>
          <w:lang w:eastAsia="cs-CZ"/>
        </w:rPr>
      </w:pPr>
      <w:r>
        <w:rPr>
          <w:lang w:eastAsia="cs-CZ"/>
        </w:rPr>
        <w:t>počet, plocha, kapacita nových/upravených sběrných dvorů;</w:t>
      </w:r>
    </w:p>
    <w:p w:rsidR="00D53CB0" w:rsidRDefault="00D53CB0" w:rsidP="00A60AC9">
      <w:pPr>
        <w:pStyle w:val="Odstavecseseznamem"/>
        <w:numPr>
          <w:ilvl w:val="0"/>
          <w:numId w:val="57"/>
        </w:numPr>
        <w:rPr>
          <w:lang w:eastAsia="cs-CZ"/>
        </w:rPr>
      </w:pPr>
      <w:r w:rsidRPr="008E3058">
        <w:rPr>
          <w:lang w:eastAsia="cs-CZ"/>
        </w:rPr>
        <w:t>počet</w:t>
      </w:r>
      <w:r>
        <w:rPr>
          <w:lang w:eastAsia="cs-CZ"/>
        </w:rPr>
        <w:t>/kapacita</w:t>
      </w:r>
      <w:r w:rsidRPr="008E3058">
        <w:rPr>
          <w:lang w:eastAsia="cs-CZ"/>
        </w:rPr>
        <w:t xml:space="preserve"> nově zavedených sy</w:t>
      </w:r>
      <w:r>
        <w:rPr>
          <w:lang w:eastAsia="cs-CZ"/>
        </w:rPr>
        <w:t>stémů nakládání s druhy odpadu;</w:t>
      </w:r>
    </w:p>
    <w:p w:rsidR="00D53CB0" w:rsidRDefault="00D53CB0" w:rsidP="00A60AC9">
      <w:pPr>
        <w:pStyle w:val="Odstavecseseznamem"/>
        <w:numPr>
          <w:ilvl w:val="0"/>
          <w:numId w:val="57"/>
        </w:numPr>
        <w:rPr>
          <w:lang w:eastAsia="cs-CZ"/>
        </w:rPr>
      </w:pPr>
      <w:r w:rsidRPr="008E3058">
        <w:rPr>
          <w:lang w:eastAsia="cs-CZ"/>
        </w:rPr>
        <w:t>počet tun</w:t>
      </w:r>
      <w:r>
        <w:rPr>
          <w:lang w:eastAsia="cs-CZ"/>
        </w:rPr>
        <w:t>, m</w:t>
      </w:r>
      <w:r w:rsidRPr="00504F43">
        <w:rPr>
          <w:vertAlign w:val="superscript"/>
          <w:lang w:eastAsia="cs-CZ"/>
        </w:rPr>
        <w:t>3</w:t>
      </w:r>
      <w:r w:rsidRPr="008E3058">
        <w:rPr>
          <w:lang w:eastAsia="cs-CZ"/>
        </w:rPr>
        <w:t xml:space="preserve"> nebo plocha odstraněných zátěží, černých s</w:t>
      </w:r>
      <w:r>
        <w:rPr>
          <w:lang w:eastAsia="cs-CZ"/>
        </w:rPr>
        <w:t>kládek;</w:t>
      </w:r>
    </w:p>
    <w:p w:rsidR="00D53CB0" w:rsidRDefault="00D53CB0" w:rsidP="00A60AC9">
      <w:pPr>
        <w:pStyle w:val="Odstavecseseznamem"/>
        <w:numPr>
          <w:ilvl w:val="0"/>
          <w:numId w:val="57"/>
        </w:numPr>
        <w:rPr>
          <w:lang w:eastAsia="cs-CZ"/>
        </w:rPr>
      </w:pPr>
      <w:r>
        <w:rPr>
          <w:lang w:eastAsia="cs-CZ"/>
        </w:rPr>
        <w:t>počet, kapacita přírodních (lesních) školek.</w:t>
      </w:r>
    </w:p>
    <w:p w:rsidR="00D53CB0" w:rsidRDefault="00D53CB0" w:rsidP="00A60AC9">
      <w:pPr>
        <w:pStyle w:val="Odstavecseseznamem"/>
        <w:numPr>
          <w:ilvl w:val="0"/>
          <w:numId w:val="57"/>
        </w:numPr>
        <w:rPr>
          <w:lang w:eastAsia="cs-CZ"/>
        </w:rPr>
      </w:pPr>
      <w:r>
        <w:rPr>
          <w:lang w:eastAsia="cs-CZ"/>
        </w:rPr>
        <w:t>Počet osob chráněných protipovodňovými opatřeními.</w:t>
      </w:r>
    </w:p>
    <w:p w:rsidR="00D53CB0" w:rsidRDefault="00D53CB0" w:rsidP="00A60AC9">
      <w:pPr>
        <w:pStyle w:val="Odstavecseseznamem"/>
        <w:numPr>
          <w:ilvl w:val="0"/>
          <w:numId w:val="57"/>
        </w:numPr>
        <w:rPr>
          <w:lang w:eastAsia="cs-CZ"/>
        </w:rPr>
      </w:pPr>
      <w:r>
        <w:rPr>
          <w:lang w:eastAsia="cs-CZ"/>
        </w:rPr>
        <w:t>Délka nových/revitalizovaných stezek.</w:t>
      </w:r>
    </w:p>
    <w:p w:rsidR="00D53CB0" w:rsidRPr="008E3058" w:rsidRDefault="00D53CB0" w:rsidP="00A60AC9">
      <w:pPr>
        <w:pStyle w:val="Odstavecseseznamem"/>
        <w:numPr>
          <w:ilvl w:val="0"/>
          <w:numId w:val="57"/>
        </w:numPr>
        <w:rPr>
          <w:lang w:eastAsia="cs-CZ"/>
        </w:rPr>
      </w:pPr>
      <w:r>
        <w:rPr>
          <w:lang w:eastAsia="cs-CZ"/>
        </w:rPr>
        <w:t>Počet informativních prvků/akcí.</w:t>
      </w:r>
    </w:p>
    <w:p w:rsidR="00D53CB0" w:rsidRDefault="00D53CB0" w:rsidP="00D53CB0">
      <w:pPr>
        <w:rPr>
          <w:lang w:eastAsia="cs-CZ"/>
        </w:rPr>
      </w:pPr>
      <w:r w:rsidRPr="001D0FC3">
        <w:rPr>
          <w:u w:val="single"/>
          <w:lang w:eastAsia="cs-CZ"/>
        </w:rPr>
        <w:t>Výsledky</w:t>
      </w:r>
      <w:r>
        <w:rPr>
          <w:lang w:eastAsia="cs-CZ"/>
        </w:rPr>
        <w:t>:</w:t>
      </w:r>
    </w:p>
    <w:p w:rsidR="00D53CB0" w:rsidRDefault="00D53CB0" w:rsidP="00A60AC9">
      <w:pPr>
        <w:pStyle w:val="Odstavecseseznamem"/>
        <w:numPr>
          <w:ilvl w:val="0"/>
          <w:numId w:val="58"/>
        </w:numPr>
        <w:rPr>
          <w:lang w:eastAsia="cs-CZ"/>
        </w:rPr>
      </w:pPr>
      <w:r>
        <w:rPr>
          <w:lang w:eastAsia="cs-CZ"/>
        </w:rPr>
        <w:t>d</w:t>
      </w:r>
      <w:r w:rsidRPr="008E3058">
        <w:rPr>
          <w:lang w:eastAsia="cs-CZ"/>
        </w:rPr>
        <w:t>élka</w:t>
      </w:r>
      <w:r>
        <w:rPr>
          <w:lang w:eastAsia="cs-CZ"/>
        </w:rPr>
        <w:t xml:space="preserve"> obnovených/regenerovaných/nových stromořadí;</w:t>
      </w:r>
    </w:p>
    <w:p w:rsidR="00D53CB0" w:rsidRDefault="00D53CB0" w:rsidP="00A60AC9">
      <w:pPr>
        <w:pStyle w:val="Odstavecseseznamem"/>
        <w:numPr>
          <w:ilvl w:val="0"/>
          <w:numId w:val="58"/>
        </w:numPr>
        <w:rPr>
          <w:lang w:eastAsia="cs-CZ"/>
        </w:rPr>
      </w:pPr>
      <w:r>
        <w:rPr>
          <w:lang w:eastAsia="cs-CZ"/>
        </w:rPr>
        <w:t>délka nových/revitalizovaných</w:t>
      </w:r>
      <w:r w:rsidRPr="008E3058">
        <w:rPr>
          <w:lang w:eastAsia="cs-CZ"/>
        </w:rPr>
        <w:t xml:space="preserve"> toků; </w:t>
      </w:r>
    </w:p>
    <w:p w:rsidR="00D53CB0" w:rsidRDefault="00D53CB0" w:rsidP="00A60AC9">
      <w:pPr>
        <w:pStyle w:val="Odstavecseseznamem"/>
        <w:numPr>
          <w:ilvl w:val="0"/>
          <w:numId w:val="58"/>
        </w:numPr>
        <w:rPr>
          <w:lang w:eastAsia="cs-CZ"/>
        </w:rPr>
      </w:pPr>
      <w:r>
        <w:rPr>
          <w:lang w:eastAsia="cs-CZ"/>
        </w:rPr>
        <w:t>plocha krajinných úprav/revitalizací;</w:t>
      </w:r>
    </w:p>
    <w:p w:rsidR="00D53CB0" w:rsidRDefault="00D53CB0" w:rsidP="00A60AC9">
      <w:pPr>
        <w:pStyle w:val="Odstavecseseznamem"/>
        <w:numPr>
          <w:ilvl w:val="0"/>
          <w:numId w:val="58"/>
        </w:numPr>
        <w:rPr>
          <w:lang w:eastAsia="cs-CZ"/>
        </w:rPr>
      </w:pPr>
      <w:r w:rsidRPr="008E3058">
        <w:rPr>
          <w:lang w:eastAsia="cs-CZ"/>
        </w:rPr>
        <w:t>počet u</w:t>
      </w:r>
      <w:r>
        <w:rPr>
          <w:lang w:eastAsia="cs-CZ"/>
        </w:rPr>
        <w:t>živatelů revitalizovaných míst;</w:t>
      </w:r>
    </w:p>
    <w:p w:rsidR="00D53CB0" w:rsidRDefault="00D53CB0" w:rsidP="00A60AC9">
      <w:pPr>
        <w:pStyle w:val="Odstavecseseznamem"/>
        <w:numPr>
          <w:ilvl w:val="0"/>
          <w:numId w:val="58"/>
        </w:numPr>
        <w:rPr>
          <w:lang w:eastAsia="cs-CZ"/>
        </w:rPr>
      </w:pPr>
      <w:r w:rsidRPr="008E3058">
        <w:rPr>
          <w:lang w:eastAsia="cs-CZ"/>
        </w:rPr>
        <w:t>objem (nárůst) odpadu ve zlepšeném nebo novém systému</w:t>
      </w:r>
      <w:r>
        <w:rPr>
          <w:lang w:eastAsia="cs-CZ"/>
        </w:rPr>
        <w:t xml:space="preserve"> nakládání s odpady;</w:t>
      </w:r>
    </w:p>
    <w:p w:rsidR="00D53CB0" w:rsidRDefault="00D53CB0" w:rsidP="00A60AC9">
      <w:pPr>
        <w:pStyle w:val="Odstavecseseznamem"/>
        <w:numPr>
          <w:ilvl w:val="0"/>
          <w:numId w:val="58"/>
        </w:numPr>
        <w:rPr>
          <w:lang w:eastAsia="cs-CZ"/>
        </w:rPr>
      </w:pPr>
      <w:r>
        <w:rPr>
          <w:lang w:eastAsia="cs-CZ"/>
        </w:rPr>
        <w:t>objem (nárůst) odpadu uloženého ve sběrném dvoře;</w:t>
      </w:r>
    </w:p>
    <w:p w:rsidR="00D53CB0" w:rsidRDefault="00D53CB0" w:rsidP="00A60AC9">
      <w:pPr>
        <w:pStyle w:val="Odstavecseseznamem"/>
        <w:numPr>
          <w:ilvl w:val="0"/>
          <w:numId w:val="58"/>
        </w:numPr>
        <w:rPr>
          <w:lang w:eastAsia="cs-CZ"/>
        </w:rPr>
      </w:pPr>
      <w:r w:rsidRPr="008E3058">
        <w:rPr>
          <w:lang w:eastAsia="cs-CZ"/>
        </w:rPr>
        <w:t xml:space="preserve">počet domácností, které </w:t>
      </w:r>
      <w:r>
        <w:rPr>
          <w:lang w:eastAsia="cs-CZ"/>
        </w:rPr>
        <w:t>využívají nové/zlepšené systémy/dvory.</w:t>
      </w:r>
    </w:p>
    <w:p w:rsidR="00D53CB0" w:rsidRDefault="00D53CB0" w:rsidP="00D53CB0">
      <w:pPr>
        <w:rPr>
          <w:lang w:eastAsia="cs-CZ"/>
        </w:rPr>
      </w:pPr>
      <w:r w:rsidRPr="001D0FC3">
        <w:rPr>
          <w:u w:val="single"/>
          <w:lang w:eastAsia="cs-CZ"/>
        </w:rPr>
        <w:lastRenderedPageBreak/>
        <w:t>Dopad</w:t>
      </w:r>
      <w:r>
        <w:rPr>
          <w:u w:val="single"/>
          <w:lang w:eastAsia="cs-CZ"/>
        </w:rPr>
        <w:t>y</w:t>
      </w:r>
      <w:r>
        <w:rPr>
          <w:lang w:eastAsia="cs-CZ"/>
        </w:rPr>
        <w:t>:</w:t>
      </w:r>
    </w:p>
    <w:p w:rsidR="00D53CB0" w:rsidRDefault="00D53CB0" w:rsidP="00A60AC9">
      <w:pPr>
        <w:pStyle w:val="Odstavecseseznamem"/>
        <w:numPr>
          <w:ilvl w:val="0"/>
          <w:numId w:val="59"/>
        </w:numPr>
        <w:rPr>
          <w:lang w:eastAsia="cs-CZ"/>
        </w:rPr>
      </w:pPr>
      <w:r w:rsidRPr="008E3058">
        <w:rPr>
          <w:lang w:eastAsia="cs-CZ"/>
        </w:rPr>
        <w:t>atraktivita, tj. poměr hodnocení cílového/výchozího stavu uživateli a obyvat</w:t>
      </w:r>
      <w:r>
        <w:rPr>
          <w:lang w:eastAsia="cs-CZ"/>
        </w:rPr>
        <w:t>eli, kde výchozí stav je 100 %;</w:t>
      </w:r>
    </w:p>
    <w:p w:rsidR="00D53CB0" w:rsidRDefault="00D53CB0" w:rsidP="00A60AC9">
      <w:pPr>
        <w:pStyle w:val="Odstavecseseznamem"/>
        <w:numPr>
          <w:ilvl w:val="0"/>
          <w:numId w:val="59"/>
        </w:numPr>
        <w:rPr>
          <w:lang w:eastAsia="cs-CZ"/>
        </w:rPr>
      </w:pPr>
      <w:r>
        <w:rPr>
          <w:lang w:eastAsia="cs-CZ"/>
        </w:rPr>
        <w:t>podíl domácností využívajících nové/zlepšené systémy v obcích;</w:t>
      </w:r>
    </w:p>
    <w:p w:rsidR="00D53CB0" w:rsidRPr="008E3058" w:rsidRDefault="00D53CB0" w:rsidP="00A60AC9">
      <w:pPr>
        <w:pStyle w:val="Odstavecseseznamem"/>
        <w:numPr>
          <w:ilvl w:val="0"/>
          <w:numId w:val="59"/>
        </w:numPr>
        <w:rPr>
          <w:lang w:eastAsia="cs-CZ"/>
        </w:rPr>
      </w:pPr>
      <w:r>
        <w:rPr>
          <w:lang w:eastAsia="cs-CZ"/>
        </w:rPr>
        <w:t>podíl odpadů objemů/celkový komunální odpad v nových/zlepšených systémech/dvorech.</w:t>
      </w:r>
    </w:p>
    <w:p w:rsidR="00D53CB0" w:rsidRDefault="00D53CB0" w:rsidP="00D53CB0">
      <w:pPr>
        <w:pStyle w:val="Nadpis3"/>
        <w:rPr>
          <w:lang w:eastAsia="cs-CZ"/>
        </w:rPr>
      </w:pPr>
      <w:bookmarkStart w:id="54" w:name="_Toc430006524"/>
      <w:r>
        <w:rPr>
          <w:lang w:eastAsia="cs-CZ"/>
        </w:rPr>
        <w:t>Oblast Hospodářství</w:t>
      </w:r>
      <w:bookmarkEnd w:id="54"/>
    </w:p>
    <w:p w:rsidR="00D53CB0" w:rsidRDefault="00D53CB0" w:rsidP="00D53CB0">
      <w:pPr>
        <w:pStyle w:val="Odstavecseseznamem"/>
        <w:ind w:left="360"/>
        <w:rPr>
          <w:b/>
          <w:lang w:eastAsia="cs-CZ"/>
        </w:rPr>
      </w:pPr>
      <w:r w:rsidRPr="006024EA">
        <w:rPr>
          <w:b/>
          <w:lang w:eastAsia="cs-CZ"/>
        </w:rPr>
        <w:t>Cíl</w:t>
      </w:r>
    </w:p>
    <w:p w:rsidR="00D53CB0" w:rsidRPr="008E3058" w:rsidRDefault="00D53CB0" w:rsidP="00D53CB0">
      <w:pPr>
        <w:rPr>
          <w:lang w:eastAsia="cs-CZ"/>
        </w:rPr>
      </w:pPr>
      <w:r w:rsidRPr="0041666A">
        <w:rPr>
          <w:lang w:eastAsia="cs-CZ"/>
        </w:rPr>
        <w:t>Region zavede jednotnou značku</w:t>
      </w:r>
      <w:r>
        <w:rPr>
          <w:lang w:eastAsia="cs-CZ"/>
        </w:rPr>
        <w:t xml:space="preserve"> nebo vhodný ekvivalent</w:t>
      </w:r>
      <w:r w:rsidRPr="008E3058">
        <w:rPr>
          <w:lang w:eastAsia="cs-CZ"/>
        </w:rPr>
        <w:t>, vyjadřující poctivou službu a výrobu, kterou přijmou za svou podniky a poskytovatelé z různých oborů. Zároveň rozvine nový informační a poznávací systém, do kterého popíše mnoho místních h</w:t>
      </w:r>
      <w:r>
        <w:rPr>
          <w:lang w:eastAsia="cs-CZ"/>
        </w:rPr>
        <w:t>odnot.</w:t>
      </w:r>
    </w:p>
    <w:p w:rsidR="00D53CB0" w:rsidRDefault="00D53CB0" w:rsidP="00D53CB0">
      <w:pPr>
        <w:pStyle w:val="Odstavecseseznamem"/>
        <w:ind w:left="360"/>
        <w:rPr>
          <w:b/>
          <w:lang w:eastAsia="cs-CZ"/>
        </w:rPr>
      </w:pPr>
      <w:r w:rsidRPr="006024EA">
        <w:rPr>
          <w:b/>
          <w:lang w:eastAsia="cs-CZ"/>
        </w:rPr>
        <w:t>Podoblasti</w:t>
      </w:r>
    </w:p>
    <w:p w:rsidR="00D53CB0" w:rsidRDefault="00D53CB0" w:rsidP="00A60AC9">
      <w:pPr>
        <w:pStyle w:val="Odstavecseseznamem"/>
        <w:numPr>
          <w:ilvl w:val="0"/>
          <w:numId w:val="66"/>
        </w:numPr>
        <w:suppressAutoHyphens w:val="0"/>
        <w:spacing w:after="200"/>
        <w:rPr>
          <w:rFonts w:eastAsia="Arial Unicode MS" w:cs="Arial Unicode MS"/>
        </w:rPr>
      </w:pPr>
      <w:r>
        <w:rPr>
          <w:rFonts w:eastAsia="Arial Unicode MS" w:cs="Arial Unicode MS"/>
        </w:rPr>
        <w:t>Diverzifikace činností zemědělských subjektů</w:t>
      </w:r>
    </w:p>
    <w:p w:rsidR="00D53CB0" w:rsidRDefault="00D53CB0" w:rsidP="00D53CB0">
      <w:pPr>
        <w:pStyle w:val="Odstavecseseznamem"/>
        <w:suppressAutoHyphens w:val="0"/>
        <w:spacing w:after="200"/>
        <w:ind w:left="1080"/>
        <w:rPr>
          <w:rFonts w:eastAsia="Arial Unicode MS" w:cs="Arial Unicode MS"/>
        </w:rPr>
      </w:pPr>
      <w:r w:rsidRPr="00396E8C">
        <w:rPr>
          <w:rFonts w:eastAsia="Arial Unicode MS" w:cs="Arial Unicode MS"/>
        </w:rPr>
        <w:t>Obce spolupracují s dalšími osobami v marketingu rozvojových možností tak, aby oborové a kapacitní parametry nových provozů odpovídaly zdejšímu potenciálu (profese, brownfields atp.).</w:t>
      </w:r>
      <w:r>
        <w:rPr>
          <w:rFonts w:eastAsia="Arial Unicode MS" w:cs="Arial Unicode MS"/>
        </w:rPr>
        <w:t xml:space="preserve"> Region je zemědělsky velmi aktivní, zemědělské subjekty se stabilizují rozšiřováním svých aktivit a využívají tak místního potenciálu. Území má rozsáhlé lesní porosty a lesnictví je silný hospodářský obor. Ten je třeba technicky vybavovat, a to včetně nových opatření pro rychle rostoucí dřeviny, porosty a jejich zpracování.</w:t>
      </w:r>
    </w:p>
    <w:p w:rsidR="00D53CB0" w:rsidRDefault="00D53CB0" w:rsidP="00A60AC9">
      <w:pPr>
        <w:pStyle w:val="Odstavecseseznamem"/>
        <w:numPr>
          <w:ilvl w:val="0"/>
          <w:numId w:val="66"/>
        </w:numPr>
        <w:suppressAutoHyphens w:val="0"/>
        <w:spacing w:after="200"/>
        <w:rPr>
          <w:rFonts w:eastAsia="Arial Unicode MS" w:cs="Arial Unicode MS"/>
        </w:rPr>
      </w:pPr>
      <w:r>
        <w:rPr>
          <w:rFonts w:eastAsia="Arial Unicode MS" w:cs="Arial Unicode MS"/>
        </w:rPr>
        <w:t>Podnikatelská infrastruktura a produkce</w:t>
      </w:r>
    </w:p>
    <w:p w:rsidR="00D53CB0" w:rsidRDefault="00D53CB0" w:rsidP="00D53CB0">
      <w:pPr>
        <w:pStyle w:val="Odstavecseseznamem"/>
        <w:suppressAutoHyphens w:val="0"/>
        <w:spacing w:after="200"/>
        <w:ind w:left="1080"/>
        <w:rPr>
          <w:rFonts w:eastAsia="Arial Unicode MS" w:cs="Arial Unicode MS"/>
        </w:rPr>
      </w:pPr>
      <w:r w:rsidRPr="00396E8C">
        <w:rPr>
          <w:rFonts w:eastAsia="Arial Unicode MS" w:cs="Arial Unicode MS"/>
        </w:rPr>
        <w:t>Většina obcí má připraven pros</w:t>
      </w:r>
      <w:r>
        <w:rPr>
          <w:rFonts w:eastAsia="Arial Unicode MS" w:cs="Arial Unicode MS"/>
        </w:rPr>
        <w:t>tor k podnikatelským investicím zakomponovaným v územně plánovacích dokumentacích</w:t>
      </w:r>
      <w:r w:rsidRPr="00396E8C">
        <w:rPr>
          <w:rFonts w:eastAsia="Arial Unicode MS" w:cs="Arial Unicode MS"/>
        </w:rPr>
        <w:t xml:space="preserve"> po konkrétní objekty.</w:t>
      </w:r>
      <w:r>
        <w:rPr>
          <w:rFonts w:eastAsia="Arial Unicode MS" w:cs="Arial Unicode MS"/>
        </w:rPr>
        <w:t xml:space="preserve"> Podnikatelské subjekty mají prostor k využití svých specifických vlastností a podmínek. V regionu je rovněž dlouhou tradicí vytvořen prostor pro rozvoj sociálního podnikání.</w:t>
      </w:r>
    </w:p>
    <w:p w:rsidR="00D53CB0" w:rsidRDefault="00D53CB0" w:rsidP="00A60AC9">
      <w:pPr>
        <w:pStyle w:val="Odstavecseseznamem"/>
        <w:numPr>
          <w:ilvl w:val="0"/>
          <w:numId w:val="66"/>
        </w:numPr>
        <w:suppressAutoHyphens w:val="0"/>
        <w:spacing w:after="200"/>
        <w:rPr>
          <w:rFonts w:eastAsia="Arial Unicode MS" w:cs="Arial Unicode MS"/>
        </w:rPr>
      </w:pPr>
      <w:r>
        <w:rPr>
          <w:rFonts w:eastAsia="Arial Unicode MS" w:cs="Arial Unicode MS"/>
        </w:rPr>
        <w:t>Propagace</w:t>
      </w:r>
    </w:p>
    <w:p w:rsidR="00D53CB0" w:rsidRDefault="00D53CB0" w:rsidP="00D53CB0">
      <w:pPr>
        <w:pStyle w:val="Odstavecseseznamem"/>
        <w:suppressAutoHyphens w:val="0"/>
        <w:spacing w:after="200"/>
        <w:ind w:left="1080"/>
        <w:rPr>
          <w:rFonts w:eastAsia="Arial Unicode MS" w:cs="Arial Unicode MS"/>
        </w:rPr>
      </w:pPr>
      <w:r>
        <w:rPr>
          <w:rFonts w:eastAsia="Arial Unicode MS" w:cs="Arial Unicode MS"/>
        </w:rPr>
        <w:lastRenderedPageBreak/>
        <w:t>Region zavede komplexní marketing identifikující regionální kvalitu výrobků i služeb. Regionální značku nebo jiné vhodné opatření propojí s návštěvnickým segmentem popularizačním infosystémem. Vedle potravinářství a agroturistiky zahrne i místní služby včetně, řemesel a místní výroby.</w:t>
      </w:r>
    </w:p>
    <w:p w:rsidR="00D53CB0" w:rsidRDefault="00D53CB0" w:rsidP="00D53CB0">
      <w:pPr>
        <w:pStyle w:val="Odstavecseseznamem"/>
        <w:suppressAutoHyphens w:val="0"/>
        <w:spacing w:after="200"/>
        <w:ind w:left="1080"/>
        <w:rPr>
          <w:rFonts w:eastAsia="Arial Unicode MS" w:cs="Arial Unicode MS"/>
        </w:rPr>
      </w:pPr>
      <w:r>
        <w:rPr>
          <w:rFonts w:eastAsia="Arial Unicode MS" w:cs="Arial Unicode MS"/>
        </w:rPr>
        <w:t>Další oblastí propagace je turistický ruch a prvky, které jej podněcují. V regionu jsou to zejména významné památky a kulturní akce. Bude tedy podporována atraktivita turisticky významných památek, souvisejících akcí doprovázená patřičnou propagací o atraktivitách a akcích.</w:t>
      </w:r>
    </w:p>
    <w:p w:rsidR="00D53CB0" w:rsidRPr="006024EA" w:rsidRDefault="00D53CB0" w:rsidP="00D53CB0">
      <w:pPr>
        <w:pStyle w:val="Odstavecseseznamem"/>
        <w:ind w:left="360"/>
        <w:rPr>
          <w:b/>
          <w:lang w:eastAsia="cs-CZ"/>
        </w:rPr>
      </w:pPr>
      <w:r>
        <w:rPr>
          <w:b/>
          <w:lang w:eastAsia="cs-CZ"/>
        </w:rPr>
        <w:t>Monitorovací schéma</w:t>
      </w:r>
    </w:p>
    <w:p w:rsidR="00D53CB0" w:rsidRDefault="00D53CB0" w:rsidP="00D53CB0">
      <w:pPr>
        <w:rPr>
          <w:lang w:eastAsia="cs-CZ"/>
        </w:rPr>
      </w:pPr>
      <w:r w:rsidRPr="001D0FC3">
        <w:rPr>
          <w:u w:val="single"/>
          <w:lang w:eastAsia="cs-CZ"/>
        </w:rPr>
        <w:t>Výstupy</w:t>
      </w:r>
      <w:r>
        <w:rPr>
          <w:lang w:eastAsia="cs-CZ"/>
        </w:rPr>
        <w:t>:</w:t>
      </w:r>
    </w:p>
    <w:p w:rsidR="00D53CB0" w:rsidRDefault="00D53CB0" w:rsidP="00A60AC9">
      <w:pPr>
        <w:pStyle w:val="Odstavecseseznamem"/>
        <w:numPr>
          <w:ilvl w:val="0"/>
          <w:numId w:val="60"/>
        </w:numPr>
        <w:rPr>
          <w:lang w:eastAsia="cs-CZ"/>
        </w:rPr>
      </w:pPr>
      <w:r w:rsidRPr="008E3058">
        <w:rPr>
          <w:lang w:eastAsia="cs-CZ"/>
        </w:rPr>
        <w:t>zavedení regionální značky</w:t>
      </w:r>
      <w:r>
        <w:rPr>
          <w:lang w:eastAsia="cs-CZ"/>
        </w:rPr>
        <w:t xml:space="preserve"> nebo ekvivalentu a systému místní kvality;</w:t>
      </w:r>
    </w:p>
    <w:p w:rsidR="00D53CB0" w:rsidRDefault="00D53CB0" w:rsidP="00A60AC9">
      <w:pPr>
        <w:pStyle w:val="Odstavecseseznamem"/>
        <w:numPr>
          <w:ilvl w:val="0"/>
          <w:numId w:val="60"/>
        </w:numPr>
        <w:rPr>
          <w:lang w:eastAsia="cs-CZ"/>
        </w:rPr>
      </w:pPr>
      <w:r w:rsidRPr="008E3058">
        <w:rPr>
          <w:lang w:eastAsia="cs-CZ"/>
        </w:rPr>
        <w:t>počet vytvořených návštěvnických středisek v místním systému kv</w:t>
      </w:r>
      <w:r>
        <w:rPr>
          <w:lang w:eastAsia="cs-CZ"/>
        </w:rPr>
        <w:t>ality a informačnímu systému;</w:t>
      </w:r>
    </w:p>
    <w:p w:rsidR="00D53CB0" w:rsidRDefault="00D53CB0" w:rsidP="00A60AC9">
      <w:pPr>
        <w:pStyle w:val="Odstavecseseznamem"/>
        <w:numPr>
          <w:ilvl w:val="0"/>
          <w:numId w:val="60"/>
        </w:numPr>
        <w:rPr>
          <w:lang w:eastAsia="cs-CZ"/>
        </w:rPr>
      </w:pPr>
      <w:r w:rsidRPr="008E3058">
        <w:rPr>
          <w:lang w:eastAsia="cs-CZ"/>
        </w:rPr>
        <w:t xml:space="preserve">počet míst zpřístupněných nebo </w:t>
      </w:r>
      <w:r>
        <w:rPr>
          <w:lang w:eastAsia="cs-CZ"/>
        </w:rPr>
        <w:t>popsaných informačním systémem;</w:t>
      </w:r>
    </w:p>
    <w:p w:rsidR="00D53CB0" w:rsidRDefault="00D53CB0" w:rsidP="00A60AC9">
      <w:pPr>
        <w:pStyle w:val="Odstavecseseznamem"/>
        <w:numPr>
          <w:ilvl w:val="0"/>
          <w:numId w:val="60"/>
        </w:numPr>
        <w:rPr>
          <w:lang w:eastAsia="cs-CZ"/>
        </w:rPr>
      </w:pPr>
      <w:r>
        <w:rPr>
          <w:lang w:eastAsia="cs-CZ"/>
        </w:rPr>
        <w:t>počet podpořených osob vč. malých a středních podniků;</w:t>
      </w:r>
    </w:p>
    <w:p w:rsidR="00D53CB0" w:rsidRDefault="00D53CB0" w:rsidP="00A60AC9">
      <w:pPr>
        <w:pStyle w:val="Odstavecseseznamem"/>
        <w:numPr>
          <w:ilvl w:val="0"/>
          <w:numId w:val="60"/>
        </w:numPr>
        <w:rPr>
          <w:lang w:eastAsia="cs-CZ"/>
        </w:rPr>
      </w:pPr>
      <w:r>
        <w:rPr>
          <w:lang w:eastAsia="cs-CZ"/>
        </w:rPr>
        <w:t>Počet inovovaných produktů</w:t>
      </w:r>
    </w:p>
    <w:p w:rsidR="00D53CB0" w:rsidRPr="008E3058" w:rsidRDefault="00D53CB0" w:rsidP="00A60AC9">
      <w:pPr>
        <w:pStyle w:val="Odstavecseseznamem"/>
        <w:numPr>
          <w:ilvl w:val="0"/>
          <w:numId w:val="60"/>
        </w:numPr>
        <w:rPr>
          <w:lang w:eastAsia="cs-CZ"/>
        </w:rPr>
      </w:pPr>
      <w:r w:rsidRPr="008E3058">
        <w:rPr>
          <w:lang w:eastAsia="cs-CZ"/>
        </w:rPr>
        <w:t>plocha nových nebo adaptovaných návštěvni</w:t>
      </w:r>
      <w:r>
        <w:rPr>
          <w:lang w:eastAsia="cs-CZ"/>
        </w:rPr>
        <w:t>ckých středisek nebo provozoven.</w:t>
      </w:r>
    </w:p>
    <w:p w:rsidR="00D53CB0" w:rsidRDefault="00D53CB0" w:rsidP="00D53CB0">
      <w:pPr>
        <w:rPr>
          <w:lang w:eastAsia="cs-CZ"/>
        </w:rPr>
      </w:pPr>
      <w:r w:rsidRPr="001D0FC3">
        <w:rPr>
          <w:u w:val="single"/>
          <w:lang w:eastAsia="cs-CZ"/>
        </w:rPr>
        <w:t>Výsledky</w:t>
      </w:r>
      <w:r>
        <w:rPr>
          <w:lang w:eastAsia="cs-CZ"/>
        </w:rPr>
        <w:t>:</w:t>
      </w:r>
    </w:p>
    <w:p w:rsidR="00D53CB0" w:rsidRDefault="00D53CB0" w:rsidP="00A60AC9">
      <w:pPr>
        <w:pStyle w:val="Odstavecseseznamem"/>
        <w:numPr>
          <w:ilvl w:val="0"/>
          <w:numId w:val="61"/>
        </w:numPr>
        <w:rPr>
          <w:lang w:eastAsia="cs-CZ"/>
        </w:rPr>
      </w:pPr>
      <w:r w:rsidRPr="008E3058">
        <w:rPr>
          <w:lang w:eastAsia="cs-CZ"/>
        </w:rPr>
        <w:t>počet zapojených subjektů/osob do místního syst</w:t>
      </w:r>
      <w:r>
        <w:rPr>
          <w:lang w:eastAsia="cs-CZ"/>
        </w:rPr>
        <w:t>ému;</w:t>
      </w:r>
    </w:p>
    <w:p w:rsidR="00D53CB0" w:rsidRDefault="00D53CB0" w:rsidP="00A60AC9">
      <w:pPr>
        <w:pStyle w:val="Odstavecseseznamem"/>
        <w:numPr>
          <w:ilvl w:val="0"/>
          <w:numId w:val="61"/>
        </w:numPr>
        <w:rPr>
          <w:lang w:eastAsia="cs-CZ"/>
        </w:rPr>
      </w:pPr>
      <w:r w:rsidRPr="008E3058">
        <w:rPr>
          <w:lang w:eastAsia="cs-CZ"/>
        </w:rPr>
        <w:t>počet výrobků šetrných k životní</w:t>
      </w:r>
      <w:r>
        <w:rPr>
          <w:lang w:eastAsia="cs-CZ"/>
        </w:rPr>
        <w:t>mu prostředí v místním systému;</w:t>
      </w:r>
    </w:p>
    <w:p w:rsidR="00D53CB0" w:rsidRDefault="00D53CB0" w:rsidP="00A60AC9">
      <w:pPr>
        <w:pStyle w:val="Odstavecseseznamem"/>
        <w:numPr>
          <w:ilvl w:val="0"/>
          <w:numId w:val="61"/>
        </w:numPr>
        <w:rPr>
          <w:lang w:eastAsia="cs-CZ"/>
        </w:rPr>
      </w:pPr>
      <w:r w:rsidRPr="008E3058">
        <w:rPr>
          <w:lang w:eastAsia="cs-CZ"/>
        </w:rPr>
        <w:t>počet návštěvníků/uživatelů podpořených míst a produkce</w:t>
      </w:r>
      <w:r>
        <w:rPr>
          <w:lang w:eastAsia="cs-CZ"/>
        </w:rPr>
        <w:t>;</w:t>
      </w:r>
    </w:p>
    <w:p w:rsidR="00D53CB0" w:rsidRPr="008E3058" w:rsidRDefault="00D53CB0" w:rsidP="00A60AC9">
      <w:pPr>
        <w:pStyle w:val="Odstavecseseznamem"/>
        <w:numPr>
          <w:ilvl w:val="0"/>
          <w:numId w:val="61"/>
        </w:numPr>
        <w:rPr>
          <w:lang w:eastAsia="cs-CZ"/>
        </w:rPr>
      </w:pPr>
      <w:r>
        <w:rPr>
          <w:lang w:eastAsia="cs-CZ"/>
        </w:rPr>
        <w:t>pracovní místa nově vytvořená.</w:t>
      </w:r>
    </w:p>
    <w:p w:rsidR="00D53CB0" w:rsidRDefault="00D53CB0" w:rsidP="00D53CB0">
      <w:pPr>
        <w:rPr>
          <w:lang w:eastAsia="cs-CZ"/>
        </w:rPr>
      </w:pPr>
      <w:r w:rsidRPr="001D0FC3">
        <w:rPr>
          <w:u w:val="single"/>
          <w:lang w:eastAsia="cs-CZ"/>
        </w:rPr>
        <w:t>Dopad</w:t>
      </w:r>
      <w:r>
        <w:rPr>
          <w:lang w:eastAsia="cs-CZ"/>
        </w:rPr>
        <w:t>:</w:t>
      </w:r>
    </w:p>
    <w:p w:rsidR="00D53CB0" w:rsidRDefault="00D53CB0" w:rsidP="00A60AC9">
      <w:pPr>
        <w:pStyle w:val="Odstavecseseznamem"/>
        <w:numPr>
          <w:ilvl w:val="0"/>
          <w:numId w:val="62"/>
        </w:numPr>
        <w:rPr>
          <w:lang w:eastAsia="cs-CZ"/>
        </w:rPr>
      </w:pPr>
      <w:r w:rsidRPr="008E3058">
        <w:rPr>
          <w:lang w:eastAsia="cs-CZ"/>
        </w:rPr>
        <w:t>atraktivita, tj. poměr hodnocení cílového/výchozího stavu uživateli a obyvat</w:t>
      </w:r>
      <w:r>
        <w:rPr>
          <w:lang w:eastAsia="cs-CZ"/>
        </w:rPr>
        <w:t>eli, kde výchozí stav je 100 %;</w:t>
      </w:r>
    </w:p>
    <w:p w:rsidR="00D53CB0" w:rsidRDefault="00D53CB0" w:rsidP="00A60AC9">
      <w:pPr>
        <w:pStyle w:val="Odstavecseseznamem"/>
        <w:numPr>
          <w:ilvl w:val="0"/>
          <w:numId w:val="62"/>
        </w:numPr>
        <w:rPr>
          <w:lang w:eastAsia="cs-CZ"/>
        </w:rPr>
      </w:pPr>
      <w:r>
        <w:rPr>
          <w:lang w:eastAsia="cs-CZ"/>
        </w:rPr>
        <w:lastRenderedPageBreak/>
        <w:t>pracovní místa nově vytvořená;</w:t>
      </w:r>
    </w:p>
    <w:p w:rsidR="00D53CB0" w:rsidRDefault="00D53CB0" w:rsidP="00A60AC9">
      <w:pPr>
        <w:pStyle w:val="Odstavecseseznamem"/>
        <w:numPr>
          <w:ilvl w:val="0"/>
          <w:numId w:val="62"/>
        </w:numPr>
        <w:rPr>
          <w:lang w:eastAsia="cs-CZ"/>
        </w:rPr>
      </w:pPr>
      <w:r>
        <w:rPr>
          <w:lang w:eastAsia="cs-CZ"/>
        </w:rPr>
        <w:t xml:space="preserve">hodnota </w:t>
      </w:r>
      <w:r w:rsidRPr="008E3058">
        <w:rPr>
          <w:lang w:eastAsia="cs-CZ"/>
        </w:rPr>
        <w:t>spoluf</w:t>
      </w:r>
      <w:r>
        <w:rPr>
          <w:lang w:eastAsia="cs-CZ"/>
        </w:rPr>
        <w:t>inancování ze soukromých zdrojů (pákový efekt investic MSP – malý a střední podnik).</w:t>
      </w:r>
    </w:p>
    <w:p w:rsidR="00D53CB0" w:rsidRDefault="00D53CB0" w:rsidP="00D53CB0">
      <w:pPr>
        <w:pStyle w:val="Nadpis3"/>
        <w:rPr>
          <w:lang w:eastAsia="cs-CZ"/>
        </w:rPr>
      </w:pPr>
      <w:bookmarkStart w:id="55" w:name="_Toc430006525"/>
      <w:r>
        <w:rPr>
          <w:lang w:eastAsia="cs-CZ"/>
        </w:rPr>
        <w:t>Konkrétní opatření</w:t>
      </w:r>
      <w:bookmarkEnd w:id="55"/>
    </w:p>
    <w:p w:rsidR="00D53CB0" w:rsidRDefault="00D53CB0" w:rsidP="00D53CB0">
      <w:r>
        <w:t>Konkrétní opatření musí vzejít od reálných investorů, budoucích provozovatelů a uživatelů. Proto je v této fázi strategického plánování vhodnější nepředjímat konkrétní podoby záměrů. Následující výčet je tedy spíše shrnutím silných podnětů z komunitní komunikace a odpovídá strategickým podoblastem.</w:t>
      </w:r>
    </w:p>
    <w:p w:rsidR="00D53CB0" w:rsidRPr="007B3E4F" w:rsidRDefault="00D53CB0" w:rsidP="00D53CB0">
      <w:pPr>
        <w:rPr>
          <w:lang w:eastAsia="cs-CZ"/>
        </w:rPr>
      </w:pPr>
      <w:r>
        <w:rPr>
          <w:lang w:eastAsia="cs-CZ"/>
        </w:rPr>
        <w:t>Systém: Oblast – Podoblast – Opatření.</w:t>
      </w:r>
    </w:p>
    <w:p w:rsidR="00D53CB0" w:rsidRDefault="00D53CB0" w:rsidP="00A60AC9">
      <w:pPr>
        <w:pStyle w:val="Odstavecseseznamem"/>
        <w:numPr>
          <w:ilvl w:val="0"/>
          <w:numId w:val="64"/>
        </w:numPr>
        <w:rPr>
          <w:lang w:eastAsia="cs-CZ"/>
        </w:rPr>
      </w:pPr>
      <w:r>
        <w:rPr>
          <w:lang w:eastAsia="cs-CZ"/>
        </w:rPr>
        <w:t>Místní soudržnost</w:t>
      </w:r>
    </w:p>
    <w:p w:rsidR="00D53CB0" w:rsidRPr="005D5A6A" w:rsidRDefault="00D53CB0" w:rsidP="00A60AC9">
      <w:pPr>
        <w:pStyle w:val="Odstavecseseznamem"/>
        <w:numPr>
          <w:ilvl w:val="1"/>
          <w:numId w:val="64"/>
        </w:numPr>
        <w:suppressAutoHyphens w:val="0"/>
        <w:spacing w:after="200"/>
      </w:pPr>
      <w:r w:rsidRPr="005D5A6A">
        <w:t xml:space="preserve">Dopravní </w:t>
      </w:r>
      <w:r w:rsidRPr="005D5A6A">
        <w:rPr>
          <w:rFonts w:eastAsia="Arial Unicode MS" w:cs="Arial Unicode MS"/>
        </w:rPr>
        <w:t>obslužnost</w:t>
      </w:r>
    </w:p>
    <w:p w:rsidR="00D53CB0" w:rsidRPr="00C058B1" w:rsidRDefault="00D53CB0" w:rsidP="00A60AC9">
      <w:pPr>
        <w:pStyle w:val="Odstavecseseznamem"/>
        <w:numPr>
          <w:ilvl w:val="2"/>
          <w:numId w:val="64"/>
        </w:numPr>
        <w:suppressAutoHyphens w:val="0"/>
        <w:spacing w:after="200"/>
      </w:pPr>
      <w:r w:rsidRPr="00C058B1">
        <w:t>Udržení stávající dopravní obslužnosti.</w:t>
      </w:r>
    </w:p>
    <w:p w:rsidR="00D53CB0" w:rsidRPr="00C058B1" w:rsidRDefault="00D53CB0" w:rsidP="00A60AC9">
      <w:pPr>
        <w:pStyle w:val="Odstavecseseznamem"/>
        <w:numPr>
          <w:ilvl w:val="2"/>
          <w:numId w:val="64"/>
        </w:numPr>
        <w:suppressAutoHyphens w:val="0"/>
        <w:spacing w:after="200"/>
      </w:pPr>
      <w:r w:rsidRPr="00C058B1">
        <w:t>Doplňky regionální dopravní obslužnosti (substituce stávající dopraví obslužnosti).</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Zdravotnictví, sociální oblast a další služby</w:t>
      </w:r>
    </w:p>
    <w:p w:rsidR="00D53CB0" w:rsidRDefault="00D53CB0" w:rsidP="00D53CB0">
      <w:pPr>
        <w:pStyle w:val="Odstavecseseznamem"/>
        <w:suppressAutoHyphens w:val="0"/>
        <w:spacing w:after="200"/>
        <w:ind w:left="792"/>
        <w:rPr>
          <w:rFonts w:eastAsia="Arial Unicode MS" w:cs="Arial Unicode MS"/>
        </w:rPr>
      </w:pPr>
      <w:r w:rsidRPr="006024EA">
        <w:rPr>
          <w:rFonts w:eastAsia="Arial Unicode MS" w:cs="Arial Unicode MS"/>
        </w:rPr>
        <w:t>Rozšiřovat ambulantní / terénní služby a zázemí pro ně podle vývoje potřeb obyvatel a hospodářské síly v obcích.</w:t>
      </w:r>
      <w:r>
        <w:rPr>
          <w:rFonts w:eastAsia="Arial Unicode MS" w:cs="Arial Unicode MS"/>
        </w:rPr>
        <w:t xml:space="preserve"> Spektrum služeb nutno chápat široce. Zcela jistě bude třeba sociálně-zdravotní obsluha. Může se ukázat potřeba i menší a častější dopravní obsluhy. Jistě zesílí poptávka po službách pro bydlení seniorů v rozmezí od domácí pomoci po nižší stupně sociálních služeb</w:t>
      </w:r>
    </w:p>
    <w:p w:rsidR="00D53CB0" w:rsidRPr="00C058B1" w:rsidRDefault="00D53CB0" w:rsidP="00A60AC9">
      <w:pPr>
        <w:pStyle w:val="Odstavecseseznamem"/>
        <w:numPr>
          <w:ilvl w:val="2"/>
          <w:numId w:val="64"/>
        </w:numPr>
        <w:suppressAutoHyphens w:val="0"/>
        <w:spacing w:after="200"/>
      </w:pPr>
      <w:r w:rsidRPr="00C058B1">
        <w:t>Rozvoj terénních i ambulantních služeb v širokém spektru.</w:t>
      </w:r>
    </w:p>
    <w:p w:rsidR="00D53CB0" w:rsidRPr="00C058B1" w:rsidRDefault="00D53CB0" w:rsidP="00A60AC9">
      <w:pPr>
        <w:pStyle w:val="Odstavecseseznamem"/>
        <w:numPr>
          <w:ilvl w:val="2"/>
          <w:numId w:val="64"/>
        </w:numPr>
        <w:suppressAutoHyphens w:val="0"/>
        <w:spacing w:after="200"/>
      </w:pPr>
      <w:r w:rsidRPr="00C058B1">
        <w:t>Rozvoj služeb pro znevýhodněné skupiny obyvatel (seniorů, hendikepovaných...).</w:t>
      </w:r>
    </w:p>
    <w:p w:rsidR="00D53CB0" w:rsidRPr="00C058B1" w:rsidRDefault="00D53CB0" w:rsidP="00A60AC9">
      <w:pPr>
        <w:pStyle w:val="Odstavecseseznamem"/>
        <w:numPr>
          <w:ilvl w:val="2"/>
          <w:numId w:val="64"/>
        </w:numPr>
        <w:suppressAutoHyphens w:val="0"/>
        <w:spacing w:after="200"/>
      </w:pPr>
      <w:r w:rsidRPr="00C058B1">
        <w:t>Zázemí, vybavení a infrastruktura pro služby znevýhodněným skupinám obyvatel.</w:t>
      </w:r>
    </w:p>
    <w:p w:rsidR="00D53CB0" w:rsidRDefault="00D53CB0" w:rsidP="00A60AC9">
      <w:pPr>
        <w:pStyle w:val="Odstavecseseznamem"/>
        <w:numPr>
          <w:ilvl w:val="2"/>
          <w:numId w:val="64"/>
        </w:numPr>
        <w:suppressAutoHyphens w:val="0"/>
        <w:spacing w:after="200"/>
      </w:pPr>
      <w:r w:rsidRPr="00C058B1">
        <w:t>Rozvoj sociálního podnikání.</w:t>
      </w:r>
    </w:p>
    <w:p w:rsidR="00D53CB0" w:rsidRPr="00AA5DF3"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lastRenderedPageBreak/>
        <w:t>Vzdělávání</w:t>
      </w:r>
    </w:p>
    <w:p w:rsidR="00D53CB0" w:rsidRDefault="00D53CB0" w:rsidP="00A60AC9">
      <w:pPr>
        <w:pStyle w:val="Odstavecseseznamem"/>
        <w:numPr>
          <w:ilvl w:val="0"/>
          <w:numId w:val="64"/>
        </w:numPr>
        <w:rPr>
          <w:lang w:eastAsia="cs-CZ"/>
        </w:rPr>
      </w:pPr>
      <w:r>
        <w:rPr>
          <w:lang w:eastAsia="cs-CZ"/>
        </w:rPr>
        <w:t>Infrastruktura</w:t>
      </w:r>
    </w:p>
    <w:p w:rsidR="00D53CB0" w:rsidRPr="00396E8C" w:rsidRDefault="00D53CB0" w:rsidP="00D53CB0">
      <w:pPr>
        <w:pStyle w:val="Odstavecseseznamem"/>
        <w:suppressAutoHyphens w:val="0"/>
        <w:spacing w:after="200"/>
        <w:ind w:left="792"/>
        <w:rPr>
          <w:rFonts w:eastAsia="Arial Unicode MS" w:cs="Arial Unicode MS"/>
        </w:rPr>
      </w:pPr>
      <w:r>
        <w:rPr>
          <w:rFonts w:eastAsia="Arial Unicode MS" w:cs="Arial Unicode MS"/>
        </w:rPr>
        <w:t>Územně plánovací dokumentace</w:t>
      </w:r>
      <w:r w:rsidRPr="00396E8C">
        <w:rPr>
          <w:rFonts w:eastAsia="Arial Unicode MS" w:cs="Arial Unicode MS"/>
        </w:rPr>
        <w:t xml:space="preserve"> a faktická připravenost infrastruktury obcí umožňuje plynule v rozumných lhůtách realizovat investiční záměry, aniž by vznikala úzká hrdla, přetěžování, obtěžování a nežádoucí jevy.</w:t>
      </w:r>
    </w:p>
    <w:p w:rsidR="00D53CB0" w:rsidRPr="00396E8C"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Technická řešení veřejné infrastruktury a investic jsou přiměřená a provozně udržitelná bez spoléhání na</w:t>
      </w:r>
      <w:r>
        <w:rPr>
          <w:rFonts w:eastAsia="Arial Unicode MS" w:cs="Arial Unicode MS"/>
        </w:rPr>
        <w:t xml:space="preserve"> jednorázové a nahodilé zdroje. Zejména jsou domácnostem přibližovány kanalizační sítě, plynofikace nebo zázemí pro užití biopaliv.</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Nadřazené investiční akce jsou včas promítnuty do místních plánů, minimalizovány místní obtíže z jejich realizace, kompenzovány vícenáklady vzniklé v obcích a naopak obce výstupy těchto investic využívají svými navazujícími projekty.</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Infrastruktura v obcích</w:t>
      </w:r>
    </w:p>
    <w:p w:rsidR="00D53CB0" w:rsidRPr="00081AFD" w:rsidRDefault="00D53CB0" w:rsidP="00D53CB0">
      <w:pPr>
        <w:pStyle w:val="Odstavecseseznamem"/>
        <w:suppressAutoHyphens w:val="0"/>
        <w:spacing w:after="200"/>
        <w:ind w:left="792"/>
        <w:rPr>
          <w:rFonts w:eastAsia="Arial Unicode MS" w:cs="Arial Unicode MS"/>
        </w:rPr>
      </w:pPr>
      <w:r w:rsidRPr="00081AFD">
        <w:rPr>
          <w:rFonts w:eastAsia="Arial Unicode MS" w:cs="Arial Unicode MS"/>
        </w:rPr>
        <w:t>Zlepšovat a udržovat fyzickou infrastrukturu místní mobility s důrazem na specifické potřeby a omezení stárnoucí populace. Pro starší i pro děti bude nutno k bezbariérovosti přičítat veřejné osvětlení, zábrany, pomocné vodorovné značení atd.</w:t>
      </w:r>
    </w:p>
    <w:p w:rsidR="00D53CB0" w:rsidRPr="00C058B1" w:rsidRDefault="00D53CB0" w:rsidP="00A60AC9">
      <w:pPr>
        <w:pStyle w:val="Odstavecseseznamem"/>
        <w:numPr>
          <w:ilvl w:val="2"/>
          <w:numId w:val="64"/>
        </w:numPr>
        <w:suppressAutoHyphens w:val="0"/>
        <w:spacing w:after="200"/>
      </w:pPr>
      <w:r w:rsidRPr="00C058B1">
        <w:t>Udržení a rozvoj komunikací a chodníků.</w:t>
      </w:r>
    </w:p>
    <w:p w:rsidR="00D53CB0" w:rsidRPr="00C058B1" w:rsidRDefault="00D53CB0" w:rsidP="00A60AC9">
      <w:pPr>
        <w:pStyle w:val="Odstavecseseznamem"/>
        <w:numPr>
          <w:ilvl w:val="2"/>
          <w:numId w:val="64"/>
        </w:numPr>
        <w:suppressAutoHyphens w:val="0"/>
        <w:spacing w:after="200"/>
      </w:pPr>
      <w:r w:rsidRPr="00C058B1">
        <w:t>Budování, opravy, úpravy a zlepšování kvality tras pro alternativní dopravu a její oddělení od motorové, zejména pro chodce a cyklisty.</w:t>
      </w:r>
    </w:p>
    <w:p w:rsidR="00D53CB0" w:rsidRPr="00C058B1" w:rsidRDefault="00D53CB0" w:rsidP="00A60AC9">
      <w:pPr>
        <w:pStyle w:val="Odstavecseseznamem"/>
        <w:numPr>
          <w:ilvl w:val="2"/>
          <w:numId w:val="64"/>
        </w:numPr>
        <w:suppressAutoHyphens w:val="0"/>
        <w:spacing w:after="200"/>
      </w:pPr>
      <w:r w:rsidRPr="00C058B1">
        <w:t>Odstraňování bariér pohybu.</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Veřejná prostranství</w:t>
      </w:r>
    </w:p>
    <w:p w:rsidR="00D53CB0" w:rsidRPr="00C058B1" w:rsidRDefault="00D53CB0" w:rsidP="00A60AC9">
      <w:pPr>
        <w:pStyle w:val="Odstavecseseznamem"/>
        <w:numPr>
          <w:ilvl w:val="2"/>
          <w:numId w:val="64"/>
        </w:numPr>
        <w:suppressAutoHyphens w:val="0"/>
        <w:spacing w:after="200"/>
      </w:pPr>
      <w:r w:rsidRPr="00C058B1">
        <w:t>Posílení pasivní bezpečnosti (veřejné osvětlení, zábrany, značení...).</w:t>
      </w:r>
    </w:p>
    <w:p w:rsidR="00D53CB0" w:rsidRPr="00C058B1" w:rsidRDefault="00D53CB0" w:rsidP="00A60AC9">
      <w:pPr>
        <w:pStyle w:val="Odstavecseseznamem"/>
        <w:numPr>
          <w:ilvl w:val="2"/>
          <w:numId w:val="64"/>
        </w:numPr>
        <w:suppressAutoHyphens w:val="0"/>
        <w:spacing w:after="200"/>
      </w:pPr>
      <w:r w:rsidRPr="00C058B1">
        <w:t>Odstraňováni problémových míst veřejných prostranství a komunikací.</w:t>
      </w:r>
    </w:p>
    <w:p w:rsidR="00D53CB0" w:rsidRPr="00065B6A" w:rsidRDefault="00D53CB0" w:rsidP="00A60AC9">
      <w:pPr>
        <w:pStyle w:val="Odstavecseseznamem"/>
        <w:numPr>
          <w:ilvl w:val="1"/>
          <w:numId w:val="64"/>
        </w:numPr>
        <w:suppressAutoHyphens w:val="0"/>
        <w:spacing w:after="200"/>
        <w:rPr>
          <w:rFonts w:eastAsia="Arial Unicode MS" w:cs="Arial Unicode MS"/>
        </w:rPr>
      </w:pPr>
      <w:r w:rsidRPr="00065B6A">
        <w:rPr>
          <w:rFonts w:eastAsia="Arial Unicode MS" w:cs="Arial Unicode MS"/>
        </w:rPr>
        <w:t>Technická infrastruktura</w:t>
      </w:r>
    </w:p>
    <w:p w:rsidR="00D53CB0" w:rsidRPr="00C058B1" w:rsidRDefault="00D53CB0" w:rsidP="00A60AC9">
      <w:pPr>
        <w:pStyle w:val="Odstavecseseznamem"/>
        <w:numPr>
          <w:ilvl w:val="2"/>
          <w:numId w:val="64"/>
        </w:numPr>
        <w:suppressAutoHyphens w:val="0"/>
        <w:spacing w:after="200"/>
      </w:pPr>
      <w:r w:rsidRPr="00C058B1">
        <w:t>Veřejná osvětlení, rozhlas ...</w:t>
      </w:r>
    </w:p>
    <w:p w:rsidR="00D53CB0" w:rsidRDefault="00D53CB0" w:rsidP="00A60AC9">
      <w:pPr>
        <w:pStyle w:val="Odstavecseseznamem"/>
        <w:numPr>
          <w:ilvl w:val="2"/>
          <w:numId w:val="64"/>
        </w:numPr>
        <w:suppressAutoHyphens w:val="0"/>
        <w:spacing w:after="200"/>
      </w:pPr>
      <w:r w:rsidRPr="00C058B1">
        <w:lastRenderedPageBreak/>
        <w:t>Podpora infrastruktury pro alternativní energetiku, vodohospodářství a čištění odpadních vod.</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Komunitní prostory</w:t>
      </w:r>
    </w:p>
    <w:p w:rsidR="00D53CB0" w:rsidRDefault="00D53CB0" w:rsidP="00D53CB0">
      <w:pPr>
        <w:pStyle w:val="Odstavecseseznamem"/>
        <w:suppressAutoHyphens w:val="0"/>
        <w:spacing w:after="200"/>
        <w:ind w:left="792"/>
        <w:rPr>
          <w:rFonts w:eastAsia="Arial Unicode MS" w:cs="Arial Unicode MS"/>
        </w:rPr>
      </w:pPr>
      <w:r w:rsidRPr="006024EA">
        <w:rPr>
          <w:rFonts w:eastAsia="Arial Unicode MS" w:cs="Arial Unicode MS"/>
        </w:rPr>
        <w:t>Podněcovat místní pospolitost účinnými prostředky, místy pro setkávání, společnými činnostmi, prezentacemi zájmů. Přitom zvlášť aktivizovat starší lidi a využít jich i mezigeneračně.</w:t>
      </w:r>
      <w:r>
        <w:rPr>
          <w:rFonts w:eastAsia="Arial Unicode MS" w:cs="Arial Unicode MS"/>
        </w:rPr>
        <w:t xml:space="preserve"> Ke společným zájmům patří také zlepšování technického zázemí škol (staveb i vybavení) spolu s navazující mimoškolní výchovou a pomocí. Aby se jednotlivci či skupiny nevylučovali z místních komunit ani socioekonomicky nezaostávali.</w:t>
      </w:r>
    </w:p>
    <w:p w:rsidR="00D53CB0" w:rsidRPr="00C058B1" w:rsidRDefault="00D53CB0" w:rsidP="00A60AC9">
      <w:pPr>
        <w:pStyle w:val="Odstavecseseznamem"/>
        <w:numPr>
          <w:ilvl w:val="2"/>
          <w:numId w:val="64"/>
        </w:numPr>
        <w:suppressAutoHyphens w:val="0"/>
        <w:spacing w:after="200"/>
      </w:pPr>
      <w:r w:rsidRPr="00C058B1">
        <w:t>Budování, adaptace, rekonstrukce a vybavení prostor pro místní aktivity včetně neformálních (včetně podpory víceúčelovosti).</w:t>
      </w:r>
    </w:p>
    <w:p w:rsidR="00D53CB0" w:rsidRPr="00C058B1" w:rsidRDefault="00D53CB0" w:rsidP="00A60AC9">
      <w:pPr>
        <w:pStyle w:val="Odstavecseseznamem"/>
        <w:numPr>
          <w:ilvl w:val="2"/>
          <w:numId w:val="64"/>
        </w:numPr>
        <w:suppressAutoHyphens w:val="0"/>
        <w:spacing w:after="200"/>
      </w:pPr>
      <w:r w:rsidRPr="00C058B1">
        <w:t>Investice do modernizace škol, výuky (stavby a vybavení) a místní mimoškolních aktivit a programů.</w:t>
      </w:r>
    </w:p>
    <w:p w:rsidR="00D53CB0" w:rsidRPr="00C058B1" w:rsidRDefault="00D53CB0" w:rsidP="00A60AC9">
      <w:pPr>
        <w:pStyle w:val="Odstavecseseznamem"/>
        <w:numPr>
          <w:ilvl w:val="2"/>
          <w:numId w:val="64"/>
        </w:numPr>
        <w:suppressAutoHyphens w:val="0"/>
        <w:spacing w:after="200"/>
      </w:pPr>
      <w:r w:rsidRPr="00C058B1">
        <w:t>Budování a rekonstrukce kulturních zařízení.</w:t>
      </w:r>
    </w:p>
    <w:p w:rsidR="00D53CB0" w:rsidRPr="00C058B1" w:rsidRDefault="00D53CB0" w:rsidP="00A60AC9">
      <w:pPr>
        <w:pStyle w:val="Odstavecseseznamem"/>
        <w:numPr>
          <w:ilvl w:val="2"/>
          <w:numId w:val="64"/>
        </w:numPr>
        <w:suppressAutoHyphens w:val="0"/>
        <w:spacing w:after="200"/>
      </w:pPr>
      <w:r w:rsidRPr="00C058B1">
        <w:t>Budování a rekonstrukce sportovních zařízeni.</w:t>
      </w:r>
    </w:p>
    <w:p w:rsidR="00D53CB0" w:rsidRPr="00C058B1" w:rsidRDefault="00D53CB0" w:rsidP="00A60AC9">
      <w:pPr>
        <w:pStyle w:val="Odstavecseseznamem"/>
        <w:numPr>
          <w:ilvl w:val="2"/>
          <w:numId w:val="64"/>
        </w:numPr>
        <w:suppressAutoHyphens w:val="0"/>
        <w:spacing w:after="200"/>
      </w:pPr>
      <w:r w:rsidRPr="00C058B1">
        <w:t>Obnova a úpravy veřejných prostranství.</w:t>
      </w:r>
    </w:p>
    <w:p w:rsidR="00D53CB0" w:rsidRDefault="00D53CB0" w:rsidP="00A60AC9">
      <w:pPr>
        <w:pStyle w:val="Odstavecseseznamem"/>
        <w:numPr>
          <w:ilvl w:val="1"/>
          <w:numId w:val="64"/>
        </w:numPr>
        <w:suppressAutoHyphens w:val="0"/>
        <w:contextualSpacing/>
        <w:rPr>
          <w:rFonts w:eastAsia="Arial Unicode MS" w:cs="Arial Unicode MS"/>
        </w:rPr>
      </w:pPr>
      <w:r>
        <w:rPr>
          <w:rFonts w:eastAsia="Arial Unicode MS" w:cs="Arial Unicode MS"/>
        </w:rPr>
        <w:t>Udržování a využívání objektů veřejného zájmu.</w:t>
      </w:r>
    </w:p>
    <w:p w:rsidR="00D53CB0" w:rsidRPr="00C058B1" w:rsidRDefault="00D53CB0" w:rsidP="00A60AC9">
      <w:pPr>
        <w:pStyle w:val="Odstavecseseznamem"/>
        <w:numPr>
          <w:ilvl w:val="2"/>
          <w:numId w:val="64"/>
        </w:numPr>
        <w:suppressAutoHyphens w:val="0"/>
        <w:spacing w:after="200"/>
      </w:pPr>
      <w:r w:rsidRPr="00C058B1">
        <w:t>Budování, rekonstrukce a vybavování</w:t>
      </w:r>
      <w:r>
        <w:t xml:space="preserve"> veřejných budov (budovy úřadů...</w:t>
      </w:r>
      <w:r w:rsidRPr="00C058B1">
        <w:t>).</w:t>
      </w:r>
    </w:p>
    <w:p w:rsidR="00D53CB0" w:rsidRPr="00C058B1" w:rsidRDefault="00D53CB0" w:rsidP="00A60AC9">
      <w:pPr>
        <w:pStyle w:val="Odstavecseseznamem"/>
        <w:numPr>
          <w:ilvl w:val="2"/>
          <w:numId w:val="64"/>
        </w:numPr>
        <w:suppressAutoHyphens w:val="0"/>
        <w:spacing w:after="200"/>
      </w:pPr>
      <w:r w:rsidRPr="00C058B1">
        <w:t>Adaptace a využívání nevyužitých budov.</w:t>
      </w:r>
    </w:p>
    <w:p w:rsidR="00D53CB0" w:rsidRDefault="00D53CB0" w:rsidP="00A60AC9">
      <w:pPr>
        <w:pStyle w:val="Odstavecseseznamem"/>
        <w:numPr>
          <w:ilvl w:val="2"/>
          <w:numId w:val="64"/>
        </w:numPr>
        <w:suppressAutoHyphens w:val="0"/>
        <w:spacing w:after="200"/>
      </w:pPr>
      <w:r w:rsidRPr="00C058B1">
        <w:t>Udržování kulturních a historických památek</w:t>
      </w:r>
      <w:r>
        <w:t>, zpřístupnění</w:t>
      </w:r>
      <w:r w:rsidRPr="00C058B1">
        <w:t>, propagace a využití jejich potenciálu.</w:t>
      </w:r>
    </w:p>
    <w:p w:rsidR="00D53CB0" w:rsidRPr="00AA5DF3" w:rsidRDefault="00D53CB0" w:rsidP="00A60AC9">
      <w:pPr>
        <w:pStyle w:val="Odstavecseseznamem"/>
        <w:numPr>
          <w:ilvl w:val="1"/>
          <w:numId w:val="64"/>
        </w:numPr>
        <w:suppressAutoHyphens w:val="0"/>
        <w:contextualSpacing/>
        <w:rPr>
          <w:rFonts w:eastAsia="Arial Unicode MS" w:cs="Arial Unicode MS"/>
        </w:rPr>
      </w:pPr>
      <w:r>
        <w:t>Infrastruktura zabraňující živelným událostem nebo snižující následky</w:t>
      </w:r>
    </w:p>
    <w:p w:rsidR="00D53CB0" w:rsidRPr="00AA5DF3" w:rsidRDefault="00D53CB0" w:rsidP="00A60AC9">
      <w:pPr>
        <w:pStyle w:val="Odstavecseseznamem"/>
        <w:numPr>
          <w:ilvl w:val="2"/>
          <w:numId w:val="64"/>
        </w:numPr>
        <w:suppressAutoHyphens w:val="0"/>
        <w:contextualSpacing/>
        <w:rPr>
          <w:rFonts w:eastAsia="Arial Unicode MS" w:cs="Arial Unicode MS"/>
        </w:rPr>
      </w:pPr>
      <w:r>
        <w:t>Projekty zvyšující připravenost a snižující rizika plynoucí z živelných událostí (odpovídající stavby a technologie...).</w:t>
      </w:r>
    </w:p>
    <w:p w:rsidR="00D53CB0" w:rsidRDefault="00D53CB0" w:rsidP="00A60AC9">
      <w:pPr>
        <w:pStyle w:val="Odstavecseseznamem"/>
        <w:numPr>
          <w:ilvl w:val="0"/>
          <w:numId w:val="64"/>
        </w:numPr>
        <w:rPr>
          <w:lang w:eastAsia="cs-CZ"/>
        </w:rPr>
      </w:pPr>
      <w:r>
        <w:rPr>
          <w:lang w:eastAsia="cs-CZ"/>
        </w:rPr>
        <w:t>Životní prostředí</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Zeleň, krajinné prvky, vodní plochy a toky</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lastRenderedPageBreak/>
        <w:t>Obce i další osoby využívají zdroje k obnově a z</w:t>
      </w:r>
      <w:r>
        <w:rPr>
          <w:rFonts w:eastAsia="Arial Unicode MS" w:cs="Arial Unicode MS"/>
        </w:rPr>
        <w:t>akládání zeleně v intravilánu i </w:t>
      </w:r>
      <w:r w:rsidRPr="00396E8C">
        <w:rPr>
          <w:rFonts w:eastAsia="Arial Unicode MS" w:cs="Arial Unicode MS"/>
        </w:rPr>
        <w:t>extravilánu. Podobně pečují o vodní toky, plochy a retenční schopnosti okolní krajiny.</w:t>
      </w:r>
    </w:p>
    <w:p w:rsidR="00D53CB0" w:rsidRPr="00156734" w:rsidRDefault="00D53CB0" w:rsidP="00A60AC9">
      <w:pPr>
        <w:pStyle w:val="Odstavecseseznamem"/>
        <w:numPr>
          <w:ilvl w:val="2"/>
          <w:numId w:val="64"/>
        </w:numPr>
        <w:suppressAutoHyphens w:val="0"/>
        <w:spacing w:after="200"/>
      </w:pPr>
      <w:r w:rsidRPr="00156734">
        <w:t>Revitalizace a rozšiřování krajinných prvků a zeleně v obcích.</w:t>
      </w:r>
    </w:p>
    <w:p w:rsidR="00D53CB0" w:rsidRPr="00156734" w:rsidRDefault="00D53CB0" w:rsidP="00A60AC9">
      <w:pPr>
        <w:pStyle w:val="Odstavecseseznamem"/>
        <w:numPr>
          <w:ilvl w:val="2"/>
          <w:numId w:val="64"/>
        </w:numPr>
        <w:suppressAutoHyphens w:val="0"/>
        <w:spacing w:after="200"/>
      </w:pPr>
      <w:r w:rsidRPr="00156734">
        <w:t>Revitalizace vodních toků, ploch a jejich okolí v obcích i okolí.</w:t>
      </w:r>
    </w:p>
    <w:p w:rsidR="00D53CB0" w:rsidRPr="00156734" w:rsidRDefault="00D53CB0" w:rsidP="00A60AC9">
      <w:pPr>
        <w:pStyle w:val="Odstavecseseznamem"/>
        <w:numPr>
          <w:ilvl w:val="2"/>
          <w:numId w:val="64"/>
        </w:numPr>
        <w:suppressAutoHyphens w:val="0"/>
        <w:spacing w:after="200"/>
      </w:pPr>
      <w:r w:rsidRPr="00156734">
        <w:t>Protipovodňová opatření</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Přístupnost krajiny</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Krajinné hodnoty jsou šetrně zpřístupňovány k rekre</w:t>
      </w:r>
      <w:r>
        <w:rPr>
          <w:rFonts w:eastAsia="Arial Unicode MS" w:cs="Arial Unicode MS"/>
        </w:rPr>
        <w:t>aci a výchově pasivními prvky i </w:t>
      </w:r>
      <w:r w:rsidRPr="00396E8C">
        <w:rPr>
          <w:rFonts w:eastAsia="Arial Unicode MS" w:cs="Arial Unicode MS"/>
        </w:rPr>
        <w:t>organizovanými činnostmi.</w:t>
      </w:r>
    </w:p>
    <w:p w:rsidR="00D53CB0" w:rsidRPr="00156734" w:rsidRDefault="00D53CB0" w:rsidP="00A60AC9">
      <w:pPr>
        <w:pStyle w:val="Odstavecseseznamem"/>
        <w:numPr>
          <w:ilvl w:val="2"/>
          <w:numId w:val="64"/>
        </w:numPr>
        <w:suppressAutoHyphens w:val="0"/>
        <w:spacing w:after="200"/>
      </w:pPr>
      <w:r w:rsidRPr="00156734">
        <w:t>Budování stezek, značení a podpora informovanosti.</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Nakládání s odpady</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V obcích se rozvíjí technologie a postupy snižující produkci nevyužitých odpadů a umožňující zpětné využívání.</w:t>
      </w:r>
    </w:p>
    <w:p w:rsidR="00D53CB0" w:rsidRPr="00156734" w:rsidRDefault="00D53CB0" w:rsidP="00A60AC9">
      <w:pPr>
        <w:pStyle w:val="Odstavecseseznamem"/>
        <w:numPr>
          <w:ilvl w:val="2"/>
          <w:numId w:val="64"/>
        </w:numPr>
        <w:suppressAutoHyphens w:val="0"/>
        <w:spacing w:after="200"/>
      </w:pPr>
      <w:r w:rsidRPr="00156734">
        <w:t>Investice do sběrných dvorů a systému nakládání s odpady.</w:t>
      </w:r>
    </w:p>
    <w:p w:rsidR="00D53CB0" w:rsidRPr="00396E8C" w:rsidRDefault="00D53CB0" w:rsidP="00D53CB0">
      <w:pPr>
        <w:pStyle w:val="Odstavecseseznamem"/>
        <w:suppressAutoHyphens w:val="0"/>
        <w:spacing w:after="200"/>
        <w:ind w:left="792"/>
        <w:rPr>
          <w:rFonts w:eastAsia="Arial Unicode MS" w:cs="Arial Unicode MS"/>
        </w:rPr>
      </w:pPr>
    </w:p>
    <w:p w:rsidR="00D53CB0" w:rsidRDefault="00D53CB0" w:rsidP="00A60AC9">
      <w:pPr>
        <w:pStyle w:val="Odstavecseseznamem"/>
        <w:numPr>
          <w:ilvl w:val="0"/>
          <w:numId w:val="64"/>
        </w:numPr>
        <w:rPr>
          <w:lang w:eastAsia="cs-CZ"/>
        </w:rPr>
      </w:pPr>
      <w:r>
        <w:rPr>
          <w:lang w:eastAsia="cs-CZ"/>
        </w:rPr>
        <w:t>Hospodářství</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Diverzifikace činností zemědělských subjektů</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Obce spolupracují s dalšími osobami v marketingu rozvojových možností tak, aby oborové a kapacitní parametry nových provozů odpovídaly zdejšímu potenciálu (profese, brownfields atp.).</w:t>
      </w:r>
      <w:r>
        <w:rPr>
          <w:rFonts w:eastAsia="Arial Unicode MS" w:cs="Arial Unicode MS"/>
        </w:rPr>
        <w:t xml:space="preserve"> Region je zemědělsky velmi aktivní, zemědělské subjekty se stabilizují rozšiřováním svých aktivit a využívají tak místního potenciálu. Území má rozsáhlé lesní porosty a lesnictví je silný hospodářský obor. Ten je třeba technicky vybavovat, a to včetně nových opatření pro rychle rostoucí dřeviny, porosty a jejich zpracování.</w:t>
      </w:r>
    </w:p>
    <w:p w:rsidR="00D53CB0" w:rsidRPr="00156734" w:rsidRDefault="00D53CB0" w:rsidP="00A60AC9">
      <w:pPr>
        <w:pStyle w:val="Odstavecseseznamem"/>
        <w:numPr>
          <w:ilvl w:val="2"/>
          <w:numId w:val="64"/>
        </w:numPr>
        <w:suppressAutoHyphens w:val="0"/>
        <w:spacing w:after="200"/>
      </w:pPr>
      <w:r w:rsidRPr="00156734">
        <w:t>Podpora diverzifikace činností zemědělských podnikatelů.</w:t>
      </w:r>
    </w:p>
    <w:p w:rsidR="00D53CB0" w:rsidRPr="00156734" w:rsidRDefault="00D53CB0" w:rsidP="00A60AC9">
      <w:pPr>
        <w:pStyle w:val="Odstavecseseznamem"/>
        <w:numPr>
          <w:ilvl w:val="2"/>
          <w:numId w:val="64"/>
        </w:numPr>
        <w:suppressAutoHyphens w:val="0"/>
        <w:spacing w:after="200"/>
      </w:pPr>
      <w:r w:rsidRPr="00156734">
        <w:t>Rozvoj agroturistiky.</w:t>
      </w:r>
    </w:p>
    <w:p w:rsidR="00D53CB0" w:rsidRPr="00156734" w:rsidRDefault="00D53CB0" w:rsidP="00A60AC9">
      <w:pPr>
        <w:pStyle w:val="Odstavecseseznamem"/>
        <w:numPr>
          <w:ilvl w:val="2"/>
          <w:numId w:val="64"/>
        </w:numPr>
        <w:suppressAutoHyphens w:val="0"/>
        <w:spacing w:after="200"/>
      </w:pPr>
      <w:r w:rsidRPr="00156734">
        <w:lastRenderedPageBreak/>
        <w:t>Podpora konečné produkce (potravinářství...).</w:t>
      </w:r>
    </w:p>
    <w:p w:rsidR="00D53CB0" w:rsidRPr="00156734" w:rsidRDefault="00D53CB0" w:rsidP="00A60AC9">
      <w:pPr>
        <w:pStyle w:val="Odstavecseseznamem"/>
        <w:numPr>
          <w:ilvl w:val="2"/>
          <w:numId w:val="64"/>
        </w:numPr>
        <w:suppressAutoHyphens w:val="0"/>
        <w:spacing w:after="200"/>
      </w:pPr>
      <w:r w:rsidRPr="00156734">
        <w:t>Investice do technologií pro lesnictví a zpracování dřevní hmoty.</w:t>
      </w:r>
    </w:p>
    <w:p w:rsidR="00D53CB0" w:rsidRPr="00156734" w:rsidRDefault="00D53CB0" w:rsidP="00A60AC9">
      <w:pPr>
        <w:pStyle w:val="Odstavecseseznamem"/>
        <w:numPr>
          <w:ilvl w:val="2"/>
          <w:numId w:val="64"/>
        </w:numPr>
        <w:suppressAutoHyphens w:val="0"/>
        <w:spacing w:after="200"/>
      </w:pPr>
      <w:r w:rsidRPr="00156734">
        <w:t>Podpora prodejních kanálů včetně propagace.</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Podnikatelská infrastruktura a produkce</w:t>
      </w:r>
    </w:p>
    <w:p w:rsidR="00D53CB0" w:rsidRDefault="00D53CB0" w:rsidP="00D53CB0">
      <w:pPr>
        <w:pStyle w:val="Odstavecseseznamem"/>
        <w:suppressAutoHyphens w:val="0"/>
        <w:spacing w:after="200"/>
        <w:ind w:left="792"/>
        <w:rPr>
          <w:rFonts w:eastAsia="Arial Unicode MS" w:cs="Arial Unicode MS"/>
        </w:rPr>
      </w:pPr>
      <w:r w:rsidRPr="00396E8C">
        <w:rPr>
          <w:rFonts w:eastAsia="Arial Unicode MS" w:cs="Arial Unicode MS"/>
        </w:rPr>
        <w:t>Většina obcí má připraven pros</w:t>
      </w:r>
      <w:r>
        <w:rPr>
          <w:rFonts w:eastAsia="Arial Unicode MS" w:cs="Arial Unicode MS"/>
        </w:rPr>
        <w:t>tor k podnikatelským investicím zakomponovaným v územně plánovacích dokumentacích</w:t>
      </w:r>
      <w:r w:rsidRPr="00396E8C">
        <w:rPr>
          <w:rFonts w:eastAsia="Arial Unicode MS" w:cs="Arial Unicode MS"/>
        </w:rPr>
        <w:t xml:space="preserve"> po konkrétní objekty.</w:t>
      </w:r>
      <w:r>
        <w:rPr>
          <w:rFonts w:eastAsia="Arial Unicode MS" w:cs="Arial Unicode MS"/>
        </w:rPr>
        <w:t xml:space="preserve"> Podnikatelské subjekty mají prostor k využití svých specifických vlastností a podmínek.</w:t>
      </w:r>
    </w:p>
    <w:p w:rsidR="00D53CB0" w:rsidRPr="00156734" w:rsidRDefault="00D53CB0" w:rsidP="00A60AC9">
      <w:pPr>
        <w:pStyle w:val="Odstavecseseznamem"/>
        <w:numPr>
          <w:ilvl w:val="2"/>
          <w:numId w:val="64"/>
        </w:numPr>
        <w:suppressAutoHyphens w:val="0"/>
        <w:spacing w:after="200"/>
      </w:pPr>
      <w:r w:rsidRPr="00156734">
        <w:t>Vytváření prostoru pro výrobu a poskytování služeb</w:t>
      </w:r>
    </w:p>
    <w:p w:rsidR="00D53CB0" w:rsidRPr="00156734" w:rsidRDefault="00D53CB0" w:rsidP="00A60AC9">
      <w:pPr>
        <w:pStyle w:val="Odstavecseseznamem"/>
        <w:numPr>
          <w:ilvl w:val="2"/>
          <w:numId w:val="64"/>
        </w:numPr>
        <w:suppressAutoHyphens w:val="0"/>
        <w:spacing w:after="200"/>
      </w:pPr>
      <w:r w:rsidRPr="00156734">
        <w:t>Podpora inovativních prvků v místní produkci.</w:t>
      </w:r>
    </w:p>
    <w:p w:rsidR="00D53CB0" w:rsidRDefault="00D53CB0" w:rsidP="00A60AC9">
      <w:pPr>
        <w:pStyle w:val="Odstavecseseznamem"/>
        <w:numPr>
          <w:ilvl w:val="1"/>
          <w:numId w:val="64"/>
        </w:numPr>
        <w:suppressAutoHyphens w:val="0"/>
        <w:spacing w:after="200"/>
        <w:rPr>
          <w:rFonts w:eastAsia="Arial Unicode MS" w:cs="Arial Unicode MS"/>
        </w:rPr>
      </w:pPr>
      <w:r>
        <w:rPr>
          <w:rFonts w:eastAsia="Arial Unicode MS" w:cs="Arial Unicode MS"/>
        </w:rPr>
        <w:t>Propagace</w:t>
      </w:r>
    </w:p>
    <w:p w:rsidR="00D53CB0" w:rsidRDefault="00D53CB0" w:rsidP="00D53CB0">
      <w:pPr>
        <w:pStyle w:val="Odstavecseseznamem"/>
        <w:suppressAutoHyphens w:val="0"/>
        <w:spacing w:after="200"/>
        <w:ind w:left="792"/>
        <w:rPr>
          <w:rFonts w:eastAsia="Arial Unicode MS" w:cs="Arial Unicode MS"/>
        </w:rPr>
      </w:pPr>
      <w:r>
        <w:rPr>
          <w:rFonts w:eastAsia="Arial Unicode MS" w:cs="Arial Unicode MS"/>
        </w:rPr>
        <w:t>Region zavede komplexní marketing identifikující regionální kvalitu výrobků i služeb. Regionální značku nebo jiné vhodné opatření propojí s návštěvnickým segmentem popularizačním infosystémem. Vedle potravinářství a agroturistiky zahrne i místní služby včetně, řemesel a místní výroby.</w:t>
      </w:r>
    </w:p>
    <w:p w:rsidR="00D53CB0" w:rsidRPr="00156734" w:rsidRDefault="00D53CB0" w:rsidP="00A60AC9">
      <w:pPr>
        <w:pStyle w:val="Odstavecseseznamem"/>
        <w:numPr>
          <w:ilvl w:val="2"/>
          <w:numId w:val="64"/>
        </w:numPr>
        <w:suppressAutoHyphens w:val="0"/>
        <w:spacing w:after="200"/>
      </w:pPr>
      <w:r w:rsidRPr="00156734">
        <w:t>Opaření pro marketing regionální kvality (značka nebo její alternativa).</w:t>
      </w:r>
    </w:p>
    <w:p w:rsidR="00D53CB0" w:rsidRPr="00156734" w:rsidRDefault="00D53CB0" w:rsidP="00A60AC9">
      <w:pPr>
        <w:pStyle w:val="Odstavecseseznamem"/>
        <w:numPr>
          <w:ilvl w:val="2"/>
          <w:numId w:val="64"/>
        </w:numPr>
        <w:suppressAutoHyphens w:val="0"/>
        <w:spacing w:after="200"/>
      </w:pPr>
      <w:r w:rsidRPr="00156734">
        <w:t>Popularizace a informovanost o regionu</w:t>
      </w:r>
      <w:r>
        <w:t xml:space="preserve"> spoju</w:t>
      </w:r>
      <w:r w:rsidRPr="00156734">
        <w:t>jící (agro)turistiku, kulturní, přírodní i historické dědictví, životní prostředí a místní služby.</w:t>
      </w:r>
    </w:p>
    <w:p w:rsidR="00546849" w:rsidRDefault="00546849" w:rsidP="009F4D7F">
      <w:pPr>
        <w:pStyle w:val="Nadpis2"/>
      </w:pPr>
      <w:bookmarkStart w:id="56" w:name="_Toc430006526"/>
      <w:r>
        <w:t>Programové rámce</w:t>
      </w:r>
      <w:bookmarkEnd w:id="56"/>
    </w:p>
    <w:p w:rsidR="00546849" w:rsidRPr="00546849" w:rsidRDefault="00546849" w:rsidP="00546849">
      <w:r>
        <w:t>Programové rámce představují konfrontaci oblastí, podoblastí a opatření (uvedených v kapitole 3 tohoto strategického dokumentu vycházejících z analýzy území) s možnostmi podpory definovanými v operačních programech pro období 2014 – 2020.</w:t>
      </w:r>
    </w:p>
    <w:p w:rsidR="00546849" w:rsidRDefault="00546849" w:rsidP="00546849">
      <w:pPr>
        <w:pStyle w:val="Nadpis3"/>
      </w:pPr>
      <w:bookmarkStart w:id="57" w:name="_Toc430006527"/>
      <w:r>
        <w:t>Programový rámec IROP</w:t>
      </w:r>
      <w:bookmarkEnd w:id="57"/>
    </w:p>
    <w:p w:rsidR="002B6AB1" w:rsidRPr="002B6AB1" w:rsidRDefault="002B6AB1" w:rsidP="002B6AB1">
      <w:r>
        <w:t>Možná alokace pro programový rámec: 61 221 000Kč.</w:t>
      </w:r>
    </w:p>
    <w:p w:rsidR="00546849" w:rsidRDefault="00546849" w:rsidP="00646B48">
      <w:pPr>
        <w:pStyle w:val="Nadpis4"/>
      </w:pPr>
      <w:r>
        <w:t>Vazba na specifické cíle IROP</w:t>
      </w:r>
    </w:p>
    <w:p w:rsidR="000136B8" w:rsidRPr="00A9517B" w:rsidRDefault="000136B8" w:rsidP="000136B8">
      <w:pPr>
        <w:rPr>
          <w:rFonts w:eastAsia="Arial Unicode MS" w:cs="Arial Unicode MS"/>
        </w:rPr>
      </w:pPr>
      <w:r w:rsidRPr="00A9517B">
        <w:rPr>
          <w:rFonts w:eastAsia="Arial Unicode MS" w:cs="Arial Unicode MS"/>
        </w:rPr>
        <w:t>SC 1.2 ZVÝŠENÍ PODÍLU UDRŽITELNÝCH FOREM DOPRAVY</w:t>
      </w:r>
    </w:p>
    <w:p w:rsidR="000136B8" w:rsidRPr="00A9517B" w:rsidRDefault="000136B8" w:rsidP="000136B8">
      <w:pPr>
        <w:rPr>
          <w:rFonts w:eastAsia="Arial Unicode MS" w:cs="Arial Unicode MS"/>
        </w:rPr>
      </w:pPr>
      <w:r w:rsidRPr="00A9517B">
        <w:rPr>
          <w:rFonts w:eastAsia="Arial Unicode MS" w:cs="Arial Unicode MS"/>
        </w:rPr>
        <w:lastRenderedPageBreak/>
        <w:t>SC 1.3 ZVÝŠENÍ PŘIPRAVENOSTI K ŘEŠENÍ A ŘÍZENÍ RIZIK A KATASTROF</w:t>
      </w:r>
    </w:p>
    <w:p w:rsidR="000136B8" w:rsidRPr="00A9517B" w:rsidRDefault="000136B8" w:rsidP="000136B8">
      <w:pPr>
        <w:rPr>
          <w:rFonts w:eastAsia="Arial Unicode MS" w:cs="Arial Unicode MS"/>
        </w:rPr>
      </w:pPr>
      <w:r w:rsidRPr="00A9517B">
        <w:rPr>
          <w:rFonts w:eastAsia="Arial Unicode MS" w:cs="Arial Unicode MS"/>
        </w:rPr>
        <w:t>SC 2.1 ZVÝŠENÍ KVALITY A DOSTUPNOSTI SLUŽEB VEDOUCÍ K SOCIÁLNÍ INKLUZI</w:t>
      </w:r>
    </w:p>
    <w:p w:rsidR="000136B8" w:rsidRPr="00A9517B" w:rsidRDefault="000136B8" w:rsidP="000136B8">
      <w:pPr>
        <w:rPr>
          <w:rFonts w:eastAsia="Arial Unicode MS" w:cs="Arial Unicode MS"/>
        </w:rPr>
      </w:pPr>
      <w:r w:rsidRPr="00A9517B">
        <w:rPr>
          <w:rFonts w:eastAsia="Arial Unicode MS" w:cs="Arial Unicode MS"/>
        </w:rPr>
        <w:t>SC 2.2 VZNIK NOVÝCH A ROZVOJ EXISTUJÍCÍCH PODNIKATELSKÝCH AKTIVIT V OBLASTI SOCIÁLNÍHO PODNIKÁNÍ</w:t>
      </w:r>
    </w:p>
    <w:p w:rsidR="000136B8" w:rsidRPr="00A9517B" w:rsidRDefault="000136B8" w:rsidP="000136B8">
      <w:pPr>
        <w:rPr>
          <w:rFonts w:eastAsia="Arial Unicode MS" w:cs="Arial Unicode MS"/>
        </w:rPr>
      </w:pPr>
      <w:r w:rsidRPr="00A9517B">
        <w:rPr>
          <w:rFonts w:eastAsia="Arial Unicode MS" w:cs="Arial Unicode MS"/>
        </w:rPr>
        <w:t>SC 2.3 ROZVOJ INFRASTRUKTURY PRO POSKYTOVÁNÍ ZDRAVOTNÍCH SLUŽEB A PÉČE O ZDRAVÍ</w:t>
      </w:r>
    </w:p>
    <w:p w:rsidR="000136B8" w:rsidRPr="00A9517B" w:rsidRDefault="000136B8" w:rsidP="000136B8">
      <w:pPr>
        <w:rPr>
          <w:rFonts w:eastAsia="Arial Unicode MS" w:cs="Arial Unicode MS"/>
        </w:rPr>
      </w:pPr>
      <w:r w:rsidRPr="00A9517B">
        <w:rPr>
          <w:rFonts w:eastAsia="Arial Unicode MS" w:cs="Arial Unicode MS"/>
        </w:rPr>
        <w:t>SC 2.4 ZVÝŠENÍ KVALITY A DOSTUPNOSTI INFRASTRUKTURY PRO VZDĚLÁVÁNÍ A CELOŽIVOTNÍ UČENÍ</w:t>
      </w:r>
    </w:p>
    <w:p w:rsidR="000136B8" w:rsidRPr="00A9517B" w:rsidRDefault="000136B8" w:rsidP="000136B8">
      <w:pPr>
        <w:rPr>
          <w:rFonts w:eastAsia="Arial Unicode MS" w:cs="Arial Unicode MS"/>
        </w:rPr>
      </w:pPr>
      <w:r w:rsidRPr="00A9517B">
        <w:rPr>
          <w:rFonts w:eastAsia="Arial Unicode MS" w:cs="Arial Unicode MS"/>
        </w:rPr>
        <w:t xml:space="preserve">SC 3.1 ZEFEKTIVNĚNÍ PREZENTACE, POSÍLENÍ OCHRANY A ROZVOJE KULTURNÍHO DĚDICTVÍ </w:t>
      </w:r>
    </w:p>
    <w:p w:rsidR="000136B8" w:rsidRPr="00A9517B" w:rsidRDefault="000136B8" w:rsidP="000136B8">
      <w:pPr>
        <w:rPr>
          <w:rFonts w:eastAsia="Arial Unicode MS" w:cs="Arial Unicode MS"/>
        </w:rPr>
      </w:pPr>
      <w:r w:rsidRPr="00A9517B">
        <w:rPr>
          <w:rFonts w:eastAsia="Arial Unicode MS" w:cs="Arial Unicode MS"/>
        </w:rPr>
        <w:t>SC 3.3 PODPORA POŘIZOVÁNÍ A UPLATŇOVÁNÍ DOKUMENTŮ ÚZEMNÍHO ROZVOJE</w:t>
      </w:r>
    </w:p>
    <w:p w:rsidR="008776D4" w:rsidRDefault="008776D4" w:rsidP="008776D4">
      <w:pPr>
        <w:pStyle w:val="Nadpis4"/>
      </w:pPr>
      <w:r>
        <w:t>Vazba na potřeby území (SCLLD)</w:t>
      </w:r>
    </w:p>
    <w:p w:rsidR="008776D4" w:rsidRPr="00A9517B" w:rsidRDefault="008776D4" w:rsidP="008776D4">
      <w:pPr>
        <w:rPr>
          <w:rFonts w:eastAsia="Arial Unicode MS" w:cs="Arial Unicode MS"/>
        </w:rPr>
      </w:pPr>
      <w:r w:rsidRPr="00A9517B">
        <w:rPr>
          <w:rFonts w:eastAsia="Arial Unicode MS" w:cs="Arial Unicode MS"/>
        </w:rPr>
        <w:t>SC 1.2 ZVÝŠENÍ PODÍLU UDRŽITELNÝCH FOREM DOPRAVY</w:t>
      </w:r>
      <w:r w:rsidR="00A9517B">
        <w:rPr>
          <w:rFonts w:eastAsia="Arial Unicode MS" w:cs="Arial Unicode MS"/>
        </w:rPr>
        <w:t xml:space="preserve"> – koresponduje s podoblast</w:t>
      </w:r>
      <w:r w:rsidR="00DD1FE0">
        <w:rPr>
          <w:rFonts w:eastAsia="Arial Unicode MS" w:cs="Arial Unicode MS"/>
        </w:rPr>
        <w:t>mi</w:t>
      </w:r>
      <w:r w:rsidR="00A9517B">
        <w:rPr>
          <w:rFonts w:eastAsia="Arial Unicode MS" w:cs="Arial Unicode MS"/>
        </w:rPr>
        <w:t xml:space="preserve"> 1. Infrastruktura v obcích oblasti Infrastruktura (kapitola 3.3.2)</w:t>
      </w:r>
      <w:r w:rsidR="00DD1FE0">
        <w:rPr>
          <w:rFonts w:eastAsia="Arial Unicode MS" w:cs="Arial Unicode MS"/>
        </w:rPr>
        <w:t xml:space="preserve"> a 1. Dopravní obslužnost oblasti Místní soudržnost (kapitola 3.3.1).</w:t>
      </w:r>
    </w:p>
    <w:p w:rsidR="008776D4" w:rsidRPr="00A9517B" w:rsidRDefault="008776D4" w:rsidP="008776D4">
      <w:pPr>
        <w:rPr>
          <w:rFonts w:eastAsia="Arial Unicode MS" w:cs="Arial Unicode MS"/>
        </w:rPr>
      </w:pPr>
      <w:r w:rsidRPr="00A9517B">
        <w:rPr>
          <w:rFonts w:eastAsia="Arial Unicode MS" w:cs="Arial Unicode MS"/>
        </w:rPr>
        <w:t>SC 1.3 ZVÝŠENÍ PŘIPRAVENOSTI K ŘEŠENÍ A ŘÍZENÍ RIZIK A KATASTROF</w:t>
      </w:r>
      <w:r w:rsidR="00A9517B">
        <w:rPr>
          <w:rFonts w:eastAsia="Arial Unicode MS" w:cs="Arial Unicode MS"/>
        </w:rPr>
        <w:t xml:space="preserve"> </w:t>
      </w:r>
      <w:r w:rsidR="00DD1FE0">
        <w:rPr>
          <w:rFonts w:eastAsia="Arial Unicode MS" w:cs="Arial Unicode MS"/>
        </w:rPr>
        <w:t>–</w:t>
      </w:r>
      <w:r w:rsidR="00A9517B">
        <w:rPr>
          <w:rFonts w:eastAsia="Arial Unicode MS" w:cs="Arial Unicode MS"/>
        </w:rPr>
        <w:t xml:space="preserve"> </w:t>
      </w:r>
      <w:r w:rsidR="00DD1FE0">
        <w:rPr>
          <w:rFonts w:eastAsia="Arial Unicode MS" w:cs="Arial Unicode MS"/>
        </w:rPr>
        <w:t xml:space="preserve">odpovídá  podoblasti 7. </w:t>
      </w:r>
      <w:r w:rsidR="00DD1FE0">
        <w:t>Infrastruktura zabraňující živelným událostem nebo snižující následky zakomponované v oblasti Infrastruktura (kapitola 3.3.2)-</w:t>
      </w:r>
    </w:p>
    <w:p w:rsidR="008776D4" w:rsidRPr="00A9517B" w:rsidRDefault="008776D4" w:rsidP="008776D4">
      <w:pPr>
        <w:rPr>
          <w:rFonts w:eastAsia="Arial Unicode MS" w:cs="Arial Unicode MS"/>
        </w:rPr>
      </w:pPr>
      <w:r w:rsidRPr="00A9517B">
        <w:rPr>
          <w:rFonts w:eastAsia="Arial Unicode MS" w:cs="Arial Unicode MS"/>
        </w:rPr>
        <w:t xml:space="preserve">SC 2.1 ZVÝŠENÍ KVALITY A DOSTUPNOSTI SLUŽEB VEDOUCÍ K SOCIÁLNÍ INKLUZI – odpovídá podoblasti 2. </w:t>
      </w:r>
      <w:r w:rsidRPr="00022D24">
        <w:rPr>
          <w:rFonts w:eastAsia="Arial Unicode MS" w:cs="Arial Unicode MS"/>
        </w:rPr>
        <w:t>Zdravotnictví, sociální oblast a další služby</w:t>
      </w:r>
      <w:r>
        <w:rPr>
          <w:rFonts w:eastAsia="Arial Unicode MS" w:cs="Arial Unicode MS"/>
        </w:rPr>
        <w:t xml:space="preserve"> oblasti Místní soudržnost (kapitola 3.3.1)</w:t>
      </w:r>
      <w:r w:rsidR="00A9517B">
        <w:rPr>
          <w:rFonts w:eastAsia="Arial Unicode MS" w:cs="Arial Unicode MS"/>
        </w:rPr>
        <w:t xml:space="preserve"> a podoblasti 5. Komunitní prostory oblasti Infrastruktura (kapitola 3.3.2).</w:t>
      </w:r>
    </w:p>
    <w:p w:rsidR="008776D4" w:rsidRPr="00A9517B" w:rsidRDefault="008776D4" w:rsidP="008776D4">
      <w:pPr>
        <w:rPr>
          <w:rFonts w:eastAsia="Arial Unicode MS" w:cs="Arial Unicode MS"/>
        </w:rPr>
      </w:pPr>
      <w:r w:rsidRPr="00A9517B">
        <w:rPr>
          <w:rFonts w:eastAsia="Arial Unicode MS" w:cs="Arial Unicode MS"/>
        </w:rPr>
        <w:t>SC 2.2 VZNIK NOVÝCH A ROZVOJ EXISTUJÍCÍCH PODNIKATELSKÝCH AKTIVIT V OBLASTI SOCIÁLNÍHO PODNIKÁNÍ</w:t>
      </w:r>
      <w:r w:rsidR="00A9517B" w:rsidRPr="00A9517B">
        <w:rPr>
          <w:rFonts w:eastAsia="Arial Unicode MS" w:cs="Arial Unicode MS"/>
        </w:rPr>
        <w:t xml:space="preserve"> – koresponduje s podoblastí 2. </w:t>
      </w:r>
      <w:r w:rsidR="00A9517B">
        <w:rPr>
          <w:rFonts w:eastAsia="Arial Unicode MS" w:cs="Arial Unicode MS"/>
        </w:rPr>
        <w:t>Podnikatelská infrastruktura a produkce oblasti Hospodářství (3.3.4)</w:t>
      </w:r>
    </w:p>
    <w:p w:rsidR="008776D4" w:rsidRPr="00A9517B" w:rsidRDefault="008776D4" w:rsidP="008776D4">
      <w:pPr>
        <w:rPr>
          <w:rFonts w:eastAsia="Arial Unicode MS" w:cs="Arial Unicode MS"/>
        </w:rPr>
      </w:pPr>
      <w:r w:rsidRPr="00A9517B">
        <w:rPr>
          <w:rFonts w:eastAsia="Arial Unicode MS" w:cs="Arial Unicode MS"/>
        </w:rPr>
        <w:t>SC 2.3 ROZVOJ INFRASTRUKTURY PRO POSKYTOVÁNÍ ZDRAVOTNÍCH SLUŽEB A PÉČE O ZDRAVÍ</w:t>
      </w:r>
      <w:r w:rsidR="00A9517B">
        <w:rPr>
          <w:rFonts w:eastAsia="Arial Unicode MS" w:cs="Arial Unicode MS"/>
        </w:rPr>
        <w:t xml:space="preserve"> – nebyl nalezen soulad potřeb území a možností podpory.</w:t>
      </w:r>
    </w:p>
    <w:p w:rsidR="008776D4" w:rsidRPr="00A9517B" w:rsidRDefault="008776D4" w:rsidP="008776D4">
      <w:pPr>
        <w:rPr>
          <w:rFonts w:eastAsia="Arial Unicode MS" w:cs="Arial Unicode MS"/>
        </w:rPr>
      </w:pPr>
      <w:r w:rsidRPr="00A9517B">
        <w:rPr>
          <w:rFonts w:eastAsia="Arial Unicode MS" w:cs="Arial Unicode MS"/>
        </w:rPr>
        <w:lastRenderedPageBreak/>
        <w:t>SC 2.4 ZVÝŠENÍ KVALITY A DOSTUPNOSTI INFRASTRUKTURY PRO VZDĚLÁVÁNÍ A CELOŽIVOTNÍ UČENÍ</w:t>
      </w:r>
      <w:r w:rsidR="00A9517B">
        <w:rPr>
          <w:rFonts w:eastAsia="Arial Unicode MS" w:cs="Arial Unicode MS"/>
        </w:rPr>
        <w:t xml:space="preserve"> </w:t>
      </w:r>
      <w:r w:rsidR="00DD1FE0">
        <w:rPr>
          <w:rFonts w:eastAsia="Arial Unicode MS" w:cs="Arial Unicode MS"/>
        </w:rPr>
        <w:t>–</w:t>
      </w:r>
      <w:r w:rsidR="00A9517B">
        <w:rPr>
          <w:rFonts w:eastAsia="Arial Unicode MS" w:cs="Arial Unicode MS"/>
        </w:rPr>
        <w:t xml:space="preserve"> </w:t>
      </w:r>
      <w:r w:rsidR="00DD1FE0">
        <w:rPr>
          <w:rFonts w:eastAsia="Arial Unicode MS" w:cs="Arial Unicode MS"/>
        </w:rPr>
        <w:t>koresponduje s podoblastí 3. Vzdělávání oblasti Místní soudržnost (kapitola 3.3.1).</w:t>
      </w:r>
    </w:p>
    <w:p w:rsidR="008776D4" w:rsidRPr="00A9517B" w:rsidRDefault="008776D4" w:rsidP="008776D4">
      <w:pPr>
        <w:rPr>
          <w:rFonts w:eastAsia="Arial Unicode MS" w:cs="Arial Unicode MS"/>
        </w:rPr>
      </w:pPr>
      <w:r w:rsidRPr="00A9517B">
        <w:rPr>
          <w:rFonts w:eastAsia="Arial Unicode MS" w:cs="Arial Unicode MS"/>
        </w:rPr>
        <w:t xml:space="preserve">SC 3.1 ZEFEKTIVNĚNÍ PREZENTACE, POSÍLENÍ OCHRANY A ROZVOJE KULTURNÍHO DĚDICTVÍ </w:t>
      </w:r>
      <w:r w:rsidR="004E17DD">
        <w:rPr>
          <w:rFonts w:eastAsia="Arial Unicode MS" w:cs="Arial Unicode MS"/>
        </w:rPr>
        <w:t>–</w:t>
      </w:r>
      <w:r w:rsidR="00A9517B">
        <w:rPr>
          <w:rFonts w:eastAsia="Arial Unicode MS" w:cs="Arial Unicode MS"/>
        </w:rPr>
        <w:t xml:space="preserve"> </w:t>
      </w:r>
      <w:r w:rsidR="004E17DD">
        <w:rPr>
          <w:rFonts w:eastAsia="Arial Unicode MS" w:cs="Arial Unicode MS"/>
        </w:rPr>
        <w:t>odpovídá podoblasti 3. Propagace v rámci oblasti Hospodářství (kapitola 3.3.4)</w:t>
      </w:r>
      <w:r w:rsidR="00EE1899">
        <w:rPr>
          <w:rFonts w:eastAsia="Arial Unicode MS" w:cs="Arial Unicode MS"/>
        </w:rPr>
        <w:t xml:space="preserve"> a podoblasti 5. </w:t>
      </w:r>
      <w:r w:rsidR="00EE1899" w:rsidRPr="002146EE">
        <w:t>Udržování a využívání objektů veřejného zájmu</w:t>
      </w:r>
      <w:r w:rsidR="00EE1899">
        <w:t xml:space="preserve"> oblasti Infrastruktura (kapitola 3.3.2)</w:t>
      </w:r>
    </w:p>
    <w:p w:rsidR="008776D4" w:rsidRPr="00A9517B" w:rsidRDefault="008776D4" w:rsidP="008776D4">
      <w:pPr>
        <w:rPr>
          <w:rFonts w:eastAsia="Arial Unicode MS" w:cs="Arial Unicode MS"/>
        </w:rPr>
      </w:pPr>
      <w:r w:rsidRPr="00A9517B">
        <w:rPr>
          <w:rFonts w:eastAsia="Arial Unicode MS" w:cs="Arial Unicode MS"/>
        </w:rPr>
        <w:t>SC 3.3 PODPORA POŘIZOVÁNÍ A UPLATŇOVÁNÍ DOKUMENTŮ ÚZEMNÍHO ROZVOJE</w:t>
      </w:r>
      <w:r w:rsidR="00A9517B">
        <w:rPr>
          <w:rFonts w:eastAsia="Arial Unicode MS" w:cs="Arial Unicode MS"/>
        </w:rPr>
        <w:t xml:space="preserve"> </w:t>
      </w:r>
      <w:r w:rsidR="00EE1899">
        <w:rPr>
          <w:rFonts w:eastAsia="Arial Unicode MS" w:cs="Arial Unicode MS"/>
        </w:rPr>
        <w:t>–</w:t>
      </w:r>
      <w:r w:rsidR="00A9517B">
        <w:rPr>
          <w:rFonts w:eastAsia="Arial Unicode MS" w:cs="Arial Unicode MS"/>
        </w:rPr>
        <w:t xml:space="preserve"> </w:t>
      </w:r>
      <w:r w:rsidR="00EE1899" w:rsidRPr="00EE1899">
        <w:rPr>
          <w:rFonts w:eastAsia="Arial Unicode MS" w:cs="Arial Unicode MS"/>
          <w:highlight w:val="yellow"/>
        </w:rPr>
        <w:t>prozatím v diskuzi</w:t>
      </w:r>
      <w:r w:rsidR="00EE1899">
        <w:rPr>
          <w:rFonts w:eastAsia="Arial Unicode MS" w:cs="Arial Unicode MS"/>
        </w:rPr>
        <w:t>.</w:t>
      </w:r>
    </w:p>
    <w:p w:rsidR="000136B8" w:rsidRPr="00A9517B" w:rsidRDefault="000136B8" w:rsidP="000136B8">
      <w:pPr>
        <w:rPr>
          <w:rFonts w:eastAsia="Arial Unicode MS" w:cs="Arial Unicode MS"/>
        </w:rPr>
      </w:pPr>
    </w:p>
    <w:p w:rsidR="0072191E" w:rsidRPr="00A9517B" w:rsidRDefault="0072191E" w:rsidP="000136B8">
      <w:pPr>
        <w:rPr>
          <w:rFonts w:eastAsia="Arial Unicode MS" w:cs="Arial Unicode MS"/>
        </w:rPr>
      </w:pPr>
    </w:p>
    <w:p w:rsidR="00546849" w:rsidRDefault="00546849" w:rsidP="00646B48">
      <w:pPr>
        <w:pStyle w:val="Nadpis4"/>
      </w:pPr>
      <w:r>
        <w:t>Cíle opatření</w:t>
      </w:r>
    </w:p>
    <w:p w:rsidR="0072191E" w:rsidRPr="0072191E" w:rsidRDefault="00A9517B" w:rsidP="0072191E">
      <w:r>
        <w:t>Cílem je soběstačné území s dostupností zboží a služeb i infrastruktury pro sociální život všem obyvatelům.</w:t>
      </w:r>
    </w:p>
    <w:p w:rsidR="00546849" w:rsidRDefault="00546849" w:rsidP="00646B48">
      <w:pPr>
        <w:pStyle w:val="Nadpis4"/>
      </w:pPr>
      <w:r>
        <w:t>Možná témata projektů</w:t>
      </w:r>
    </w:p>
    <w:p w:rsidR="002B6AB1" w:rsidRPr="002B6AB1" w:rsidRDefault="00DF0A29" w:rsidP="002B6AB1">
      <w:r>
        <w:t>MAS Litomyšlsko nebude témata projektů omezovat, protože v území existuje dostatek tvůrčích subjektů s řadou projektových záměrů</w:t>
      </w:r>
    </w:p>
    <w:p w:rsidR="00546849" w:rsidRDefault="00546849" w:rsidP="00646B48">
      <w:pPr>
        <w:pStyle w:val="Nadpis4"/>
      </w:pPr>
      <w:r>
        <w:t>Možní příjemci</w:t>
      </w:r>
    </w:p>
    <w:p w:rsidR="00B41E82" w:rsidRPr="00B41E82" w:rsidRDefault="0072191E" w:rsidP="00B41E82">
      <w:r>
        <w:t>Obce, svazky obcí, nestátní neziskové organizace, sociální podnikatelé.</w:t>
      </w:r>
    </w:p>
    <w:p w:rsidR="00546849" w:rsidRDefault="00546849" w:rsidP="00646B48">
      <w:pPr>
        <w:pStyle w:val="Nadpis4"/>
      </w:pPr>
      <w:r>
        <w:t>Způsobilé výdaje</w:t>
      </w:r>
    </w:p>
    <w:p w:rsidR="00546849" w:rsidRDefault="00646B48" w:rsidP="00546849">
      <w:r>
        <w:t>Způsobilé výdaje na jeden projekt mohou být:  100 000 Kč – 5 000 000 Kč.</w:t>
      </w:r>
    </w:p>
    <w:p w:rsidR="00546849" w:rsidRDefault="00546849" w:rsidP="00646B48">
      <w:pPr>
        <w:pStyle w:val="Nadpis4"/>
      </w:pPr>
      <w:r>
        <w:t>Principy stanovení preferenčních kritérií</w:t>
      </w:r>
    </w:p>
    <w:p w:rsidR="007B126F" w:rsidRDefault="007B126F" w:rsidP="007B126F">
      <w:r>
        <w:t>Kritéria budou stanovena tak, aby byly preferovány ty projekty, které nejvíce řeší specifické potřeby území působnosti MAS Litomyšlsko.</w:t>
      </w:r>
    </w:p>
    <w:p w:rsidR="007B126F" w:rsidRDefault="007B126F" w:rsidP="007B126F">
      <w:pPr>
        <w:pStyle w:val="Nadpis4"/>
      </w:pPr>
      <w:r>
        <w:t>Monitorovací indikátory</w:t>
      </w:r>
    </w:p>
    <w:p w:rsidR="00DF0A29" w:rsidRPr="00546849" w:rsidRDefault="00DF0A29" w:rsidP="00DF0A29">
      <w:r>
        <w:t>Viz kapitoly 3.3 Definice podoblastí, cílů a indikátorů.</w:t>
      </w:r>
    </w:p>
    <w:p w:rsidR="007B126F" w:rsidRPr="007B126F" w:rsidRDefault="007B126F" w:rsidP="007B126F"/>
    <w:p w:rsidR="00546849" w:rsidRDefault="00546849" w:rsidP="00546849">
      <w:pPr>
        <w:pStyle w:val="Nadpis3"/>
      </w:pPr>
      <w:bookmarkStart w:id="58" w:name="_Toc430006528"/>
      <w:r>
        <w:t>Programový rámec PRV</w:t>
      </w:r>
      <w:bookmarkEnd w:id="58"/>
    </w:p>
    <w:p w:rsidR="002B6AB1" w:rsidRPr="002B6AB1" w:rsidRDefault="002B6AB1" w:rsidP="002B6AB1">
      <w:r>
        <w:t>Možná alokace pro programový rámec: 24 925 000 Kč + 1 733 000 Kč</w:t>
      </w:r>
      <w:r w:rsidR="007B126F">
        <w:t xml:space="preserve"> (částka na projekty spolupráce MAS)</w:t>
      </w:r>
      <w:r>
        <w:t>.</w:t>
      </w:r>
    </w:p>
    <w:p w:rsidR="00646B48" w:rsidRDefault="00646B48" w:rsidP="00646B48">
      <w:pPr>
        <w:pStyle w:val="Nadpis4"/>
      </w:pPr>
      <w:r>
        <w:t xml:space="preserve">Vazba na specifické cíle </w:t>
      </w:r>
      <w:r w:rsidR="000136B8">
        <w:t>PRV</w:t>
      </w:r>
      <w:r w:rsidR="007B126F">
        <w:t>/oblasti podpory/články</w:t>
      </w:r>
    </w:p>
    <w:p w:rsidR="002B6AB1" w:rsidRPr="007D37FA" w:rsidRDefault="002B6AB1" w:rsidP="00A60AC9">
      <w:pPr>
        <w:pStyle w:val="Odstavecseseznamem"/>
        <w:numPr>
          <w:ilvl w:val="0"/>
          <w:numId w:val="86"/>
        </w:numPr>
        <w:rPr>
          <w:rFonts w:eastAsia="Arial Unicode MS" w:cs="Arial Unicode MS"/>
        </w:rPr>
      </w:pPr>
      <w:r w:rsidRPr="007D37FA">
        <w:rPr>
          <w:rFonts w:eastAsia="Arial Unicode MS" w:cs="Arial Unicode MS"/>
        </w:rPr>
        <w:t>PŘEDÁVÁNÍ ZNALOSTÍ A INFORMAČNÍ AKCE</w:t>
      </w:r>
    </w:p>
    <w:p w:rsidR="002B6AB1" w:rsidRPr="007D37FA" w:rsidRDefault="002B6AB1" w:rsidP="00A60AC9">
      <w:pPr>
        <w:pStyle w:val="Odstavecseseznamem"/>
        <w:numPr>
          <w:ilvl w:val="0"/>
          <w:numId w:val="86"/>
        </w:numPr>
        <w:rPr>
          <w:rFonts w:eastAsia="Arial Unicode MS" w:cs="Arial Unicode MS"/>
        </w:rPr>
      </w:pPr>
      <w:r w:rsidRPr="007D37FA">
        <w:rPr>
          <w:rFonts w:eastAsia="Arial Unicode MS" w:cs="Arial Unicode MS"/>
        </w:rPr>
        <w:t>INVESTICE DO HMOTNÉHO MAJETKU</w:t>
      </w:r>
    </w:p>
    <w:p w:rsidR="002B6AB1" w:rsidRPr="007D37FA" w:rsidRDefault="002B6AB1" w:rsidP="00A60AC9">
      <w:pPr>
        <w:pStyle w:val="Odstavecseseznamem"/>
        <w:numPr>
          <w:ilvl w:val="0"/>
          <w:numId w:val="86"/>
        </w:numPr>
        <w:rPr>
          <w:rFonts w:eastAsia="Arial Unicode MS" w:cs="Arial Unicode MS"/>
        </w:rPr>
      </w:pPr>
      <w:r w:rsidRPr="007D37FA">
        <w:rPr>
          <w:rFonts w:eastAsia="Arial Unicode MS" w:cs="Arial Unicode MS"/>
        </w:rPr>
        <w:t>ROZVOJ ZEMĚDĚLSKÝCH PODNIKŮ A PODNIKATELSKÉ ČINNOSTI</w:t>
      </w:r>
    </w:p>
    <w:p w:rsidR="002B6AB1" w:rsidRPr="007D37FA" w:rsidRDefault="002B6AB1" w:rsidP="00A60AC9">
      <w:pPr>
        <w:pStyle w:val="Odstavecseseznamem"/>
        <w:numPr>
          <w:ilvl w:val="0"/>
          <w:numId w:val="86"/>
        </w:numPr>
        <w:rPr>
          <w:rFonts w:eastAsia="Arial Unicode MS" w:cs="Arial Unicode MS"/>
        </w:rPr>
      </w:pPr>
      <w:r w:rsidRPr="007D37FA">
        <w:rPr>
          <w:rFonts w:eastAsia="Arial Unicode MS" w:cs="Arial Unicode MS"/>
        </w:rPr>
        <w:t>INVESTICE DO ROZVOJE LESNÍCH OBLASTÍ A ZLEPŠOVÁNÍ ŽIVOTASCHOPNOSTI LESŮ</w:t>
      </w:r>
    </w:p>
    <w:p w:rsidR="002B6AB1" w:rsidRPr="007D37FA" w:rsidRDefault="002B6AB1" w:rsidP="00A60AC9">
      <w:pPr>
        <w:pStyle w:val="Odstavecseseznamem"/>
        <w:numPr>
          <w:ilvl w:val="0"/>
          <w:numId w:val="86"/>
        </w:numPr>
        <w:rPr>
          <w:rFonts w:eastAsia="Arial Unicode MS" w:cs="Arial Unicode MS"/>
        </w:rPr>
      </w:pPr>
      <w:r w:rsidRPr="007D37FA">
        <w:rPr>
          <w:rFonts w:eastAsia="Arial Unicode MS" w:cs="Arial Unicode MS"/>
        </w:rPr>
        <w:t>SPOLUPRÁCE – HORIZONTÁLNÍ/VERTIKÁLNÍ</w:t>
      </w:r>
    </w:p>
    <w:p w:rsidR="000136B8" w:rsidRPr="00302273" w:rsidRDefault="000136B8" w:rsidP="000136B8">
      <w:pPr>
        <w:rPr>
          <w:sz w:val="16"/>
          <w:szCs w:val="16"/>
        </w:rPr>
      </w:pPr>
    </w:p>
    <w:p w:rsidR="00302273" w:rsidRDefault="00302273" w:rsidP="00646B48">
      <w:pPr>
        <w:pStyle w:val="Nadpis4"/>
      </w:pPr>
      <w:r>
        <w:t>Vazba na potřeby území</w:t>
      </w:r>
      <w:r w:rsidR="0072191E">
        <w:t xml:space="preserve"> (SCLLD)</w:t>
      </w:r>
    </w:p>
    <w:p w:rsidR="007D37FA" w:rsidRDefault="007D37FA" w:rsidP="007D37FA">
      <w:pPr>
        <w:rPr>
          <w:rFonts w:eastAsia="Arial Unicode MS" w:cs="Arial Unicode MS"/>
        </w:rPr>
      </w:pPr>
      <w:r w:rsidRPr="007D37FA">
        <w:rPr>
          <w:rFonts w:eastAsia="Arial Unicode MS" w:cs="Arial Unicode MS"/>
        </w:rPr>
        <w:t>PŘEDÁVÁNÍ ZNALOSTÍ A INFORMAČNÍ AKCE</w:t>
      </w:r>
      <w:r>
        <w:rPr>
          <w:rFonts w:eastAsia="Arial Unicode MS" w:cs="Arial Unicode MS"/>
        </w:rPr>
        <w:t xml:space="preserve"> - p</w:t>
      </w:r>
      <w:r w:rsidRPr="007D37FA">
        <w:rPr>
          <w:rFonts w:eastAsia="Arial Unicode MS" w:cs="Arial Unicode MS"/>
        </w:rPr>
        <w:t>rozatím nebyl z území projeven zájem</w:t>
      </w:r>
      <w:r>
        <w:rPr>
          <w:rFonts w:eastAsia="Arial Unicode MS" w:cs="Arial Unicode MS"/>
        </w:rPr>
        <w:t>.</w:t>
      </w:r>
    </w:p>
    <w:p w:rsidR="007D37FA" w:rsidRDefault="007D37FA" w:rsidP="007D37FA">
      <w:pPr>
        <w:rPr>
          <w:rFonts w:eastAsia="Arial Unicode MS" w:cs="Arial Unicode MS"/>
        </w:rPr>
      </w:pPr>
      <w:r w:rsidRPr="007D37FA">
        <w:rPr>
          <w:rFonts w:eastAsia="Arial Unicode MS" w:cs="Arial Unicode MS"/>
        </w:rPr>
        <w:t>INVESTICE DO HMOTNÉHO MAJETKU</w:t>
      </w:r>
      <w:r>
        <w:rPr>
          <w:rFonts w:eastAsia="Arial Unicode MS" w:cs="Arial Unicode MS"/>
        </w:rPr>
        <w:t xml:space="preserve"> odpovídají podoblast</w:t>
      </w:r>
      <w:r w:rsidR="00C668C1">
        <w:rPr>
          <w:rFonts w:eastAsia="Arial Unicode MS" w:cs="Arial Unicode MS"/>
        </w:rPr>
        <w:t>em</w:t>
      </w:r>
      <w:r>
        <w:rPr>
          <w:rFonts w:eastAsia="Arial Unicode MS" w:cs="Arial Unicode MS"/>
        </w:rPr>
        <w:t xml:space="preserve"> 1. Diverzifikace činností zemědělských subjektů</w:t>
      </w:r>
      <w:r w:rsidR="00C668C1">
        <w:rPr>
          <w:rFonts w:eastAsia="Arial Unicode MS" w:cs="Arial Unicode MS"/>
        </w:rPr>
        <w:t xml:space="preserve"> a 3. Propagace extrahovaným</w:t>
      </w:r>
      <w:r>
        <w:rPr>
          <w:rFonts w:eastAsia="Arial Unicode MS" w:cs="Arial Unicode MS"/>
        </w:rPr>
        <w:t xml:space="preserve"> z analytické části SCLLD do kapitoly 3.3.4 Oblast Hospodářství.</w:t>
      </w:r>
    </w:p>
    <w:p w:rsidR="007D37FA" w:rsidRDefault="007D37FA" w:rsidP="007D37FA">
      <w:pPr>
        <w:rPr>
          <w:rFonts w:eastAsia="Arial Unicode MS" w:cs="Arial Unicode MS"/>
        </w:rPr>
      </w:pPr>
      <w:r w:rsidRPr="007D37FA">
        <w:rPr>
          <w:rFonts w:eastAsia="Arial Unicode MS" w:cs="Arial Unicode MS"/>
        </w:rPr>
        <w:t>ROZVOJ ZEMĚDĚLSKÝCH PODNIKŮ A PODNIKATELSKÉ ČINNOSTI</w:t>
      </w:r>
      <w:r>
        <w:rPr>
          <w:rFonts w:eastAsia="Arial Unicode MS" w:cs="Arial Unicode MS"/>
        </w:rPr>
        <w:t xml:space="preserve"> odpovídá podoblastem 1. Diverzifikace činností zemědělských subjektů a 2. Podnikatelská infrastruktura a produkce extrahovaným z analytické části do kapitoly 3.3.4 Oblast Hospodářství.</w:t>
      </w:r>
    </w:p>
    <w:p w:rsidR="007D37FA" w:rsidRPr="007D37FA" w:rsidRDefault="007D37FA" w:rsidP="007D37FA">
      <w:pPr>
        <w:rPr>
          <w:rFonts w:eastAsia="Arial Unicode MS" w:cs="Arial Unicode MS"/>
        </w:rPr>
      </w:pPr>
      <w:r w:rsidRPr="007D37FA">
        <w:rPr>
          <w:rFonts w:eastAsia="Arial Unicode MS" w:cs="Arial Unicode MS"/>
        </w:rPr>
        <w:t>INVESTICE DO ROZVOJE LESNÍCH OBLASTÍ A ZLEPŠOVÁNÍ ŽIVOTASCHOPNOSTI LESŮ koresponduj</w:t>
      </w:r>
      <w:r>
        <w:rPr>
          <w:rFonts w:eastAsia="Arial Unicode MS" w:cs="Arial Unicode MS"/>
        </w:rPr>
        <w:t>í</w:t>
      </w:r>
      <w:r w:rsidRPr="007D37FA">
        <w:rPr>
          <w:rFonts w:eastAsia="Arial Unicode MS" w:cs="Arial Unicode MS"/>
        </w:rPr>
        <w:t xml:space="preserve"> s body 1. </w:t>
      </w:r>
      <w:r>
        <w:rPr>
          <w:rFonts w:eastAsia="Arial Unicode MS" w:cs="Arial Unicode MS"/>
        </w:rPr>
        <w:t>Zeleň, krajinné prvky, vodní plochy a toky a 2. Přístupnost krajiny z oblasti Životní prostředí extrahované z analytické části do kapitoly 3.3.3.</w:t>
      </w:r>
    </w:p>
    <w:p w:rsidR="00302273" w:rsidRPr="00302273" w:rsidRDefault="007D37FA" w:rsidP="00302273">
      <w:r w:rsidRPr="007D37FA">
        <w:rPr>
          <w:rFonts w:eastAsia="Arial Unicode MS" w:cs="Arial Unicode MS"/>
        </w:rPr>
        <w:t>SPOLUPRÁCE – HORIZONTÁLNÍ/VERTIKÁLNÍ</w:t>
      </w:r>
      <w:r>
        <w:rPr>
          <w:rFonts w:eastAsia="Arial Unicode MS" w:cs="Arial Unicode MS"/>
        </w:rPr>
        <w:t xml:space="preserve"> nabízí se ve všech výše uvedených oblastech jako hospodárná a efektivní forma využívání zdrojů-</w:t>
      </w:r>
    </w:p>
    <w:p w:rsidR="00646B48" w:rsidRDefault="00646B48" w:rsidP="00646B48">
      <w:pPr>
        <w:pStyle w:val="Nadpis4"/>
      </w:pPr>
      <w:r>
        <w:lastRenderedPageBreak/>
        <w:t>Cíle opatření</w:t>
      </w:r>
    </w:p>
    <w:p w:rsidR="0072191E" w:rsidRDefault="0072191E" w:rsidP="00A60AC9">
      <w:pPr>
        <w:pStyle w:val="Odstavecseseznamem"/>
        <w:numPr>
          <w:ilvl w:val="0"/>
          <w:numId w:val="87"/>
        </w:numPr>
      </w:pPr>
      <w:r>
        <w:t>Stabilizované zemědělské a lesnické podniky.</w:t>
      </w:r>
    </w:p>
    <w:p w:rsidR="0072191E" w:rsidRDefault="0072191E" w:rsidP="00A60AC9">
      <w:pPr>
        <w:pStyle w:val="Odstavecseseznamem"/>
        <w:numPr>
          <w:ilvl w:val="0"/>
          <w:numId w:val="87"/>
        </w:numPr>
      </w:pPr>
      <w:r>
        <w:t>Silné malé a střední podnikání zajišťující dostupnost produktů a služeb v regionu.</w:t>
      </w:r>
    </w:p>
    <w:p w:rsidR="0072191E" w:rsidRDefault="0072191E" w:rsidP="00A60AC9">
      <w:pPr>
        <w:pStyle w:val="Odstavecseseznamem"/>
        <w:numPr>
          <w:ilvl w:val="0"/>
          <w:numId w:val="87"/>
        </w:numPr>
      </w:pPr>
      <w:r>
        <w:t>Funkční životní prostředí eliminující rizika eroze, kalamit, povodní, apod.</w:t>
      </w:r>
    </w:p>
    <w:p w:rsidR="0072191E" w:rsidRPr="0072191E" w:rsidRDefault="0072191E" w:rsidP="00A60AC9">
      <w:pPr>
        <w:pStyle w:val="Odstavecseseznamem"/>
        <w:numPr>
          <w:ilvl w:val="0"/>
          <w:numId w:val="87"/>
        </w:numPr>
      </w:pPr>
      <w:r>
        <w:t>Spolupracující subjekty efektivně využívající dostupné zdroje.</w:t>
      </w:r>
    </w:p>
    <w:p w:rsidR="000136B8" w:rsidRDefault="00646B48" w:rsidP="009E2AAB">
      <w:pPr>
        <w:pStyle w:val="Nadpis4"/>
      </w:pPr>
      <w:r>
        <w:t>Možná témata projektů</w:t>
      </w:r>
    </w:p>
    <w:p w:rsidR="00DF0A29" w:rsidRPr="002B6AB1" w:rsidRDefault="00DF0A29" w:rsidP="00DF0A29">
      <w:r>
        <w:t>MAS Litomyšlsko nebude témata projektů omezovat, protože v území existuje dostatek tvůrčích subjektů s řadou projektových záměrů</w:t>
      </w:r>
    </w:p>
    <w:p w:rsidR="00646B48" w:rsidRDefault="00646B48" w:rsidP="00646B48">
      <w:pPr>
        <w:pStyle w:val="Nadpis4"/>
      </w:pPr>
      <w:r>
        <w:t>Možní příjemci</w:t>
      </w:r>
    </w:p>
    <w:p w:rsidR="000136B8" w:rsidRPr="000136B8" w:rsidRDefault="0072191E" w:rsidP="000136B8">
      <w:r>
        <w:t>Podnikatelé v zemědělství, lesnictví, FO i PO s oprávněním podnikat, obce a svazky obcí, vlastníci lesních pozemků.</w:t>
      </w:r>
    </w:p>
    <w:p w:rsidR="00646B48" w:rsidRDefault="00646B48" w:rsidP="00646B48">
      <w:pPr>
        <w:pStyle w:val="Nadpis4"/>
      </w:pPr>
      <w:r>
        <w:t>Způsobilé výdaje</w:t>
      </w:r>
    </w:p>
    <w:p w:rsidR="00646B48" w:rsidRDefault="00646B48" w:rsidP="00646B48">
      <w:r>
        <w:t>Způsobilé výdaje na jeden projekt mohou být:  100 000 Kč – 5 000 000 Kč.</w:t>
      </w:r>
    </w:p>
    <w:p w:rsidR="00646B48" w:rsidRDefault="00646B48" w:rsidP="00646B48">
      <w:pPr>
        <w:pStyle w:val="Nadpis4"/>
      </w:pPr>
      <w:r>
        <w:t>Principy stanovení preferenčních kritérií</w:t>
      </w:r>
    </w:p>
    <w:p w:rsidR="00546849" w:rsidRDefault="000136B8" w:rsidP="00546849">
      <w:r>
        <w:t>Kritéria budou stanovena tak, aby byly preferovány ty projekty, které nejvíce řeší specifické potřeby území působnosti MAS Litomyšlsko.</w:t>
      </w:r>
    </w:p>
    <w:p w:rsidR="007B126F" w:rsidRDefault="007B126F" w:rsidP="007B126F">
      <w:pPr>
        <w:pStyle w:val="Nadpis4"/>
      </w:pPr>
      <w:r>
        <w:t>Monitorovací indikátory</w:t>
      </w:r>
    </w:p>
    <w:p w:rsidR="00DF0A29" w:rsidRPr="00546849" w:rsidRDefault="00DF0A29" w:rsidP="00DF0A29">
      <w:r>
        <w:t>Viz kapitoly 3.3 Definice podoblastí, cílů a indikátorů.</w:t>
      </w:r>
    </w:p>
    <w:p w:rsidR="00546849" w:rsidRDefault="00546849" w:rsidP="00546849">
      <w:pPr>
        <w:pStyle w:val="Nadpis3"/>
      </w:pPr>
      <w:bookmarkStart w:id="59" w:name="_Toc430006529"/>
      <w:r>
        <w:t>Programový rámec OP Zaměstnanost</w:t>
      </w:r>
      <w:bookmarkEnd w:id="59"/>
    </w:p>
    <w:p w:rsidR="002B6AB1" w:rsidRPr="002B6AB1" w:rsidRDefault="002B6AB1" w:rsidP="002B6AB1">
      <w:r>
        <w:t>Možná alokace pro programový rámec: 9 190 000 Kč – 14 050 000 Kč.</w:t>
      </w:r>
    </w:p>
    <w:p w:rsidR="00646B48" w:rsidRDefault="00646B48" w:rsidP="00646B48">
      <w:pPr>
        <w:pStyle w:val="Nadpis4"/>
      </w:pPr>
      <w:r>
        <w:t>Vazba na specifické cíle OP Zaměstnanost</w:t>
      </w:r>
    </w:p>
    <w:p w:rsidR="000136B8" w:rsidRDefault="002B6AB1" w:rsidP="000136B8">
      <w:r>
        <w:t>Investiční priorita 2.3 Strategie komunitně vedeného místního rozvoje</w:t>
      </w:r>
    </w:p>
    <w:p w:rsidR="002B6AB1" w:rsidRPr="000136B8" w:rsidRDefault="002B6AB1" w:rsidP="000136B8">
      <w:r>
        <w:tab/>
        <w:t>SC: ZVÝŠIT ZAPOJENÍ LOKÁLNÍCH AKTÉRŮ DO ŘEŠENÍ PROBLÉMŮ NEZAMĚSTNANOSTI A SOCIÁLNÍHO ZAČLEŇOVÁNÍ VE VENKOVSKÝCH OBLASTECH</w:t>
      </w:r>
    </w:p>
    <w:p w:rsidR="0072191E" w:rsidRDefault="0072191E" w:rsidP="0072191E">
      <w:pPr>
        <w:pStyle w:val="Nadpis4"/>
      </w:pPr>
      <w:r>
        <w:lastRenderedPageBreak/>
        <w:t>Vazba na potřeby území (SCLLD)</w:t>
      </w:r>
    </w:p>
    <w:p w:rsidR="007B126F" w:rsidRPr="007B126F" w:rsidRDefault="00ED6DFA" w:rsidP="007B126F">
      <w:pPr>
        <w:suppressAutoHyphens w:val="0"/>
        <w:spacing w:after="200"/>
        <w:rPr>
          <w:rFonts w:eastAsia="Arial Unicode MS" w:cs="Arial Unicode MS"/>
        </w:rPr>
      </w:pPr>
      <w:r>
        <w:t xml:space="preserve">Výše zmíněný specifický cíl OP Zaměstnanost koresponduje s podoblastí </w:t>
      </w:r>
      <w:r w:rsidR="007B126F">
        <w:t xml:space="preserve">2. </w:t>
      </w:r>
      <w:r w:rsidR="007B126F" w:rsidRPr="007B126F">
        <w:rPr>
          <w:rFonts w:eastAsia="Arial Unicode MS" w:cs="Arial Unicode MS"/>
        </w:rPr>
        <w:t>Zdravotnictví, sociální oblast a další služby</w:t>
      </w:r>
      <w:r w:rsidR="007B126F">
        <w:rPr>
          <w:rFonts w:eastAsia="Arial Unicode MS" w:cs="Arial Unicode MS"/>
        </w:rPr>
        <w:t xml:space="preserve"> začleněného v oblasti Místní soudržnost (kapitola 3.3.1).</w:t>
      </w:r>
    </w:p>
    <w:p w:rsidR="00646B48" w:rsidRDefault="00646B48" w:rsidP="00646B48">
      <w:pPr>
        <w:pStyle w:val="Nadpis4"/>
      </w:pPr>
      <w:r>
        <w:t>Cíle opatření</w:t>
      </w:r>
    </w:p>
    <w:p w:rsidR="009E2AAB" w:rsidRDefault="009E2AAB" w:rsidP="000136B8">
      <w:r>
        <w:t xml:space="preserve">Cíly opatření jsou zejména: </w:t>
      </w:r>
    </w:p>
    <w:p w:rsidR="000136B8" w:rsidRDefault="00FF1016" w:rsidP="00A60AC9">
      <w:pPr>
        <w:pStyle w:val="Odstavecseseznamem"/>
        <w:numPr>
          <w:ilvl w:val="0"/>
          <w:numId w:val="85"/>
        </w:numPr>
      </w:pPr>
      <w:r>
        <w:t>s</w:t>
      </w:r>
      <w:r w:rsidR="009E2AAB">
        <w:t>nížení sociálních problémů a snížení počtu osob sociálně vyloučených nebo sociálním vyloučením ohrožených,</w:t>
      </w:r>
    </w:p>
    <w:p w:rsidR="009E2AAB" w:rsidRDefault="00FF1016" w:rsidP="00A60AC9">
      <w:pPr>
        <w:pStyle w:val="Odstavecseseznamem"/>
        <w:numPr>
          <w:ilvl w:val="0"/>
          <w:numId w:val="85"/>
        </w:numPr>
      </w:pPr>
      <w:r>
        <w:t>využít tradice a potenciálu lokálního sociálního podnikání k začlenění osob sociálně vyloučených na trh práce,</w:t>
      </w:r>
    </w:p>
    <w:p w:rsidR="009E2AAB" w:rsidRDefault="00FF1016" w:rsidP="00A60AC9">
      <w:pPr>
        <w:pStyle w:val="Odstavecseseznamem"/>
        <w:numPr>
          <w:ilvl w:val="0"/>
          <w:numId w:val="85"/>
        </w:numPr>
      </w:pPr>
      <w:r>
        <w:t>usnadnit</w:t>
      </w:r>
      <w:r w:rsidR="009E2AAB">
        <w:t xml:space="preserve"> přístup osob pečujících o děti (</w:t>
      </w:r>
      <w:r>
        <w:t>rodičů</w:t>
      </w:r>
      <w:r w:rsidR="009E2AAB">
        <w:t>)</w:t>
      </w:r>
      <w:r>
        <w:t xml:space="preserve"> na trh práce.</w:t>
      </w:r>
    </w:p>
    <w:p w:rsidR="009E2AAB" w:rsidRPr="000136B8" w:rsidRDefault="009E2AAB" w:rsidP="000136B8"/>
    <w:p w:rsidR="009E2AAB" w:rsidRDefault="00646B48" w:rsidP="009E2AAB">
      <w:pPr>
        <w:pStyle w:val="Nadpis4"/>
      </w:pPr>
      <w:r>
        <w:t>Možná témata projektů</w:t>
      </w:r>
      <w:r w:rsidR="009E2AAB">
        <w:t xml:space="preserve"> (průnik OP Zaměstnanost a potřeb území)</w:t>
      </w:r>
    </w:p>
    <w:p w:rsidR="009E2AAB" w:rsidRPr="00FF1016" w:rsidRDefault="009E2AAB" w:rsidP="009E2AAB">
      <w:pPr>
        <w:rPr>
          <w:szCs w:val="22"/>
        </w:rPr>
      </w:pPr>
      <w:r w:rsidRPr="00FF1016">
        <w:rPr>
          <w:szCs w:val="22"/>
        </w:rPr>
        <w:t>SOCIÁLNÍ SLUŽBY A SOCIÁLNÍ ZAČLEŇOVÁNÍ</w:t>
      </w:r>
    </w:p>
    <w:p w:rsidR="009E2AAB" w:rsidRPr="00FF1016" w:rsidRDefault="009E2AAB" w:rsidP="00A60AC9">
      <w:pPr>
        <w:pStyle w:val="Odstavecseseznamem"/>
        <w:numPr>
          <w:ilvl w:val="0"/>
          <w:numId w:val="83"/>
        </w:numPr>
        <w:rPr>
          <w:szCs w:val="22"/>
        </w:rPr>
      </w:pPr>
      <w:r w:rsidRPr="00FF1016">
        <w:rPr>
          <w:szCs w:val="22"/>
        </w:rPr>
        <w:t>Podpora poskytov</w:t>
      </w:r>
      <w:r w:rsidRPr="00FF1016">
        <w:rPr>
          <w:rFonts w:hint="eastAsia"/>
          <w:szCs w:val="22"/>
        </w:rPr>
        <w:t>á</w:t>
      </w:r>
      <w:r w:rsidRPr="00FF1016">
        <w:rPr>
          <w:szCs w:val="22"/>
        </w:rPr>
        <w:t>n</w:t>
      </w:r>
      <w:r w:rsidRPr="00FF1016">
        <w:rPr>
          <w:rFonts w:hint="eastAsia"/>
          <w:szCs w:val="22"/>
        </w:rPr>
        <w:t>í</w:t>
      </w:r>
      <w:r w:rsidRPr="00FF1016">
        <w:rPr>
          <w:szCs w:val="22"/>
        </w:rPr>
        <w:t xml:space="preserve"> vybran</w:t>
      </w:r>
      <w:r w:rsidRPr="00FF1016">
        <w:rPr>
          <w:rFonts w:hint="eastAsia"/>
          <w:szCs w:val="22"/>
        </w:rPr>
        <w:t>ý</w:t>
      </w:r>
      <w:r w:rsidRPr="00FF1016">
        <w:rPr>
          <w:szCs w:val="22"/>
        </w:rPr>
        <w:t>ch soci</w:t>
      </w:r>
      <w:r w:rsidRPr="00FF1016">
        <w:rPr>
          <w:rFonts w:hint="eastAsia"/>
          <w:szCs w:val="22"/>
        </w:rPr>
        <w:t>á</w:t>
      </w:r>
      <w:r w:rsidRPr="00FF1016">
        <w:rPr>
          <w:szCs w:val="22"/>
        </w:rPr>
        <w:t>ln</w:t>
      </w:r>
      <w:r w:rsidRPr="00FF1016">
        <w:rPr>
          <w:rFonts w:hint="eastAsia"/>
          <w:szCs w:val="22"/>
        </w:rPr>
        <w:t>í</w:t>
      </w:r>
      <w:r w:rsidRPr="00FF1016">
        <w:rPr>
          <w:szCs w:val="22"/>
        </w:rPr>
        <w:t>ch slu</w:t>
      </w:r>
      <w:r w:rsidRPr="00FF1016">
        <w:rPr>
          <w:rFonts w:hint="eastAsia"/>
          <w:szCs w:val="22"/>
        </w:rPr>
        <w:t>ž</w:t>
      </w:r>
      <w:r w:rsidRPr="00FF1016">
        <w:rPr>
          <w:szCs w:val="22"/>
        </w:rPr>
        <w:t>eb v souladu se z</w:t>
      </w:r>
      <w:r w:rsidRPr="00FF1016">
        <w:rPr>
          <w:rFonts w:hint="eastAsia"/>
          <w:szCs w:val="22"/>
        </w:rPr>
        <w:t>á</w:t>
      </w:r>
      <w:r w:rsidRPr="00FF1016">
        <w:rPr>
          <w:szCs w:val="22"/>
        </w:rPr>
        <w:t xml:space="preserve">konem </w:t>
      </w:r>
      <w:r w:rsidRPr="00FF1016">
        <w:rPr>
          <w:rFonts w:hint="eastAsia"/>
          <w:szCs w:val="22"/>
        </w:rPr>
        <w:t>č</w:t>
      </w:r>
      <w:r w:rsidRPr="00FF1016">
        <w:rPr>
          <w:szCs w:val="22"/>
        </w:rPr>
        <w:t>. 108/2006 Sb., s c</w:t>
      </w:r>
      <w:r w:rsidRPr="00FF1016">
        <w:rPr>
          <w:rFonts w:hint="eastAsia"/>
          <w:szCs w:val="22"/>
        </w:rPr>
        <w:t>í</w:t>
      </w:r>
      <w:r w:rsidRPr="00FF1016">
        <w:rPr>
          <w:szCs w:val="22"/>
        </w:rPr>
        <w:t>lem soci</w:t>
      </w:r>
      <w:r w:rsidRPr="00FF1016">
        <w:rPr>
          <w:rFonts w:hint="eastAsia"/>
          <w:szCs w:val="22"/>
        </w:rPr>
        <w:t>á</w:t>
      </w:r>
      <w:r w:rsidRPr="00FF1016">
        <w:rPr>
          <w:szCs w:val="22"/>
        </w:rPr>
        <w:t>ln</w:t>
      </w:r>
      <w:r w:rsidRPr="00FF1016">
        <w:rPr>
          <w:rFonts w:hint="eastAsia"/>
          <w:szCs w:val="22"/>
        </w:rPr>
        <w:t>í</w:t>
      </w:r>
      <w:r w:rsidRPr="00FF1016">
        <w:rPr>
          <w:szCs w:val="22"/>
        </w:rPr>
        <w:t>ho za</w:t>
      </w:r>
      <w:r w:rsidRPr="00FF1016">
        <w:rPr>
          <w:rFonts w:hint="eastAsia"/>
          <w:szCs w:val="22"/>
        </w:rPr>
        <w:t>č</w:t>
      </w:r>
      <w:r w:rsidRPr="00FF1016">
        <w:rPr>
          <w:szCs w:val="22"/>
        </w:rPr>
        <w:t>len</w:t>
      </w:r>
      <w:r w:rsidRPr="00FF1016">
        <w:rPr>
          <w:rFonts w:hint="eastAsia"/>
          <w:szCs w:val="22"/>
        </w:rPr>
        <w:t>ě</w:t>
      </w:r>
      <w:r w:rsidRPr="00FF1016">
        <w:rPr>
          <w:szCs w:val="22"/>
        </w:rPr>
        <w:t>n</w:t>
      </w:r>
      <w:r w:rsidRPr="00FF1016">
        <w:rPr>
          <w:rFonts w:hint="eastAsia"/>
          <w:szCs w:val="22"/>
        </w:rPr>
        <w:t>í</w:t>
      </w:r>
      <w:r w:rsidRPr="00FF1016">
        <w:rPr>
          <w:szCs w:val="22"/>
        </w:rPr>
        <w:t xml:space="preserve"> a prevence soci</w:t>
      </w:r>
      <w:r w:rsidRPr="00FF1016">
        <w:rPr>
          <w:rFonts w:hint="eastAsia"/>
          <w:szCs w:val="22"/>
        </w:rPr>
        <w:t>á</w:t>
      </w:r>
      <w:r w:rsidRPr="00FF1016">
        <w:rPr>
          <w:szCs w:val="22"/>
        </w:rPr>
        <w:t>ln</w:t>
      </w:r>
      <w:r w:rsidRPr="00FF1016">
        <w:rPr>
          <w:rFonts w:hint="eastAsia"/>
          <w:szCs w:val="22"/>
        </w:rPr>
        <w:t>í</w:t>
      </w:r>
      <w:r w:rsidRPr="00FF1016">
        <w:rPr>
          <w:szCs w:val="22"/>
        </w:rPr>
        <w:t>ho vylou</w:t>
      </w:r>
      <w:r w:rsidRPr="00FF1016">
        <w:rPr>
          <w:rFonts w:hint="eastAsia"/>
          <w:szCs w:val="22"/>
        </w:rPr>
        <w:t>č</w:t>
      </w:r>
      <w:r w:rsidRPr="00FF1016">
        <w:rPr>
          <w:szCs w:val="22"/>
        </w:rPr>
        <w:t>en</w:t>
      </w:r>
      <w:r w:rsidRPr="00FF1016">
        <w:rPr>
          <w:rFonts w:hint="eastAsia"/>
          <w:szCs w:val="22"/>
        </w:rPr>
        <w:t>í</w:t>
      </w:r>
      <w:r w:rsidRPr="00FF1016">
        <w:rPr>
          <w:szCs w:val="22"/>
        </w:rPr>
        <w:t xml:space="preserve"> osob  soci</w:t>
      </w:r>
      <w:r w:rsidRPr="00FF1016">
        <w:rPr>
          <w:rFonts w:hint="eastAsia"/>
          <w:szCs w:val="22"/>
        </w:rPr>
        <w:t>á</w:t>
      </w:r>
      <w:r w:rsidRPr="00FF1016">
        <w:rPr>
          <w:szCs w:val="22"/>
        </w:rPr>
        <w:t>ln</w:t>
      </w:r>
      <w:r w:rsidRPr="00FF1016">
        <w:rPr>
          <w:rFonts w:hint="eastAsia"/>
          <w:szCs w:val="22"/>
        </w:rPr>
        <w:t>ě</w:t>
      </w:r>
      <w:r w:rsidRPr="00FF1016">
        <w:rPr>
          <w:szCs w:val="22"/>
        </w:rPr>
        <w:t xml:space="preserve"> vylou</w:t>
      </w:r>
      <w:r w:rsidRPr="00FF1016">
        <w:rPr>
          <w:rFonts w:hint="eastAsia"/>
          <w:szCs w:val="22"/>
        </w:rPr>
        <w:t>č</w:t>
      </w:r>
      <w:r w:rsidRPr="00FF1016">
        <w:rPr>
          <w:szCs w:val="22"/>
        </w:rPr>
        <w:t>en</w:t>
      </w:r>
      <w:r w:rsidRPr="00FF1016">
        <w:rPr>
          <w:rFonts w:hint="eastAsia"/>
          <w:szCs w:val="22"/>
        </w:rPr>
        <w:t>ý</w:t>
      </w:r>
      <w:r w:rsidRPr="00FF1016">
        <w:rPr>
          <w:szCs w:val="22"/>
        </w:rPr>
        <w:t xml:space="preserve">ch </w:t>
      </w:r>
      <w:r w:rsidRPr="00FF1016">
        <w:rPr>
          <w:rFonts w:hint="eastAsia"/>
          <w:szCs w:val="22"/>
        </w:rPr>
        <w:t>č</w:t>
      </w:r>
      <w:r w:rsidRPr="00FF1016">
        <w:rPr>
          <w:szCs w:val="22"/>
        </w:rPr>
        <w:t>i soci</w:t>
      </w:r>
      <w:r w:rsidRPr="00FF1016">
        <w:rPr>
          <w:rFonts w:hint="eastAsia"/>
          <w:szCs w:val="22"/>
        </w:rPr>
        <w:t>á</w:t>
      </w:r>
      <w:r w:rsidRPr="00FF1016">
        <w:rPr>
          <w:szCs w:val="22"/>
        </w:rPr>
        <w:t>ln</w:t>
      </w:r>
      <w:r w:rsidRPr="00FF1016">
        <w:rPr>
          <w:rFonts w:hint="eastAsia"/>
          <w:szCs w:val="22"/>
        </w:rPr>
        <w:t>í</w:t>
      </w:r>
      <w:r w:rsidRPr="00FF1016">
        <w:rPr>
          <w:szCs w:val="22"/>
        </w:rPr>
        <w:t>m vylou</w:t>
      </w:r>
      <w:r w:rsidRPr="00FF1016">
        <w:rPr>
          <w:rFonts w:hint="eastAsia"/>
          <w:szCs w:val="22"/>
        </w:rPr>
        <w:t>č</w:t>
      </w:r>
      <w:r w:rsidRPr="00FF1016">
        <w:rPr>
          <w:szCs w:val="22"/>
        </w:rPr>
        <w:t>en</w:t>
      </w:r>
      <w:r w:rsidRPr="00FF1016">
        <w:rPr>
          <w:rFonts w:hint="eastAsia"/>
          <w:szCs w:val="22"/>
        </w:rPr>
        <w:t>í</w:t>
      </w:r>
      <w:r w:rsidRPr="00FF1016">
        <w:rPr>
          <w:szCs w:val="22"/>
        </w:rPr>
        <w:t>m ohro</w:t>
      </w:r>
      <w:r w:rsidRPr="00FF1016">
        <w:rPr>
          <w:rFonts w:hint="eastAsia"/>
          <w:szCs w:val="22"/>
        </w:rPr>
        <w:t>ž</w:t>
      </w:r>
      <w:r w:rsidRPr="00FF1016">
        <w:rPr>
          <w:szCs w:val="22"/>
        </w:rPr>
        <w:t>en</w:t>
      </w:r>
      <w:r w:rsidRPr="00FF1016">
        <w:rPr>
          <w:rFonts w:hint="eastAsia"/>
          <w:szCs w:val="22"/>
        </w:rPr>
        <w:t>ý</w:t>
      </w:r>
      <w:r w:rsidRPr="00FF1016">
        <w:rPr>
          <w:szCs w:val="22"/>
        </w:rPr>
        <w:t>ch</w:t>
      </w:r>
    </w:p>
    <w:p w:rsidR="009E2AAB" w:rsidRPr="00FF1016" w:rsidRDefault="009E2AAB" w:rsidP="00A60AC9">
      <w:pPr>
        <w:pStyle w:val="Odstavecseseznamem"/>
        <w:numPr>
          <w:ilvl w:val="1"/>
          <w:numId w:val="83"/>
        </w:numPr>
        <w:rPr>
          <w:szCs w:val="22"/>
        </w:rPr>
      </w:pPr>
      <w:r w:rsidRPr="00FF1016">
        <w:rPr>
          <w:szCs w:val="22"/>
        </w:rPr>
        <w:t>Odborn</w:t>
      </w:r>
      <w:r w:rsidRPr="00FF1016">
        <w:rPr>
          <w:rFonts w:hint="eastAsia"/>
          <w:szCs w:val="22"/>
        </w:rPr>
        <w:t>é</w:t>
      </w:r>
      <w:r w:rsidRPr="00FF1016">
        <w:rPr>
          <w:szCs w:val="22"/>
        </w:rPr>
        <w:t xml:space="preserve"> soci</w:t>
      </w:r>
      <w:r w:rsidRPr="00FF1016">
        <w:rPr>
          <w:rFonts w:hint="eastAsia"/>
          <w:szCs w:val="22"/>
        </w:rPr>
        <w:t>á</w:t>
      </w:r>
      <w:r w:rsidRPr="00FF1016">
        <w:rPr>
          <w:szCs w:val="22"/>
        </w:rPr>
        <w:t>ln</w:t>
      </w:r>
      <w:r w:rsidRPr="00FF1016">
        <w:rPr>
          <w:rFonts w:hint="eastAsia"/>
          <w:szCs w:val="22"/>
        </w:rPr>
        <w:t>í</w:t>
      </w:r>
      <w:r w:rsidRPr="00FF1016">
        <w:rPr>
          <w:szCs w:val="22"/>
        </w:rPr>
        <w:t xml:space="preserve"> poradenstv</w:t>
      </w:r>
      <w:r w:rsidRPr="00FF1016">
        <w:rPr>
          <w:rFonts w:hint="eastAsia"/>
          <w:szCs w:val="22"/>
        </w:rPr>
        <w:t>í</w:t>
      </w:r>
      <w:r w:rsidRPr="00FF1016">
        <w:rPr>
          <w:szCs w:val="22"/>
        </w:rPr>
        <w:t xml:space="preserve"> </w:t>
      </w:r>
      <w:r w:rsidRPr="00FF1016">
        <w:rPr>
          <w:rFonts w:hint="eastAsia"/>
          <w:szCs w:val="22"/>
        </w:rPr>
        <w:t>–</w:t>
      </w:r>
      <w:r w:rsidRPr="00FF1016">
        <w:rPr>
          <w:szCs w:val="22"/>
        </w:rPr>
        <w:t xml:space="preserve"> ob</w:t>
      </w:r>
      <w:r w:rsidRPr="00FF1016">
        <w:rPr>
          <w:rFonts w:hint="eastAsia"/>
          <w:szCs w:val="22"/>
        </w:rPr>
        <w:t>č</w:t>
      </w:r>
      <w:r w:rsidRPr="00FF1016">
        <w:rPr>
          <w:szCs w:val="22"/>
        </w:rPr>
        <w:t>ansk</w:t>
      </w:r>
      <w:r w:rsidRPr="00FF1016">
        <w:rPr>
          <w:rFonts w:hint="eastAsia"/>
          <w:szCs w:val="22"/>
        </w:rPr>
        <w:t>é</w:t>
      </w:r>
      <w:r w:rsidRPr="00FF1016">
        <w:rPr>
          <w:szCs w:val="22"/>
        </w:rPr>
        <w:t xml:space="preserve"> poradny, poradny v pobytov</w:t>
      </w:r>
      <w:r w:rsidRPr="00FF1016">
        <w:rPr>
          <w:rFonts w:hint="eastAsia"/>
          <w:szCs w:val="22"/>
        </w:rPr>
        <w:t>ý</w:t>
      </w:r>
      <w:r w:rsidRPr="00FF1016">
        <w:rPr>
          <w:szCs w:val="22"/>
        </w:rPr>
        <w:t>ch za</w:t>
      </w:r>
      <w:r w:rsidRPr="00FF1016">
        <w:rPr>
          <w:rFonts w:hint="eastAsia"/>
          <w:szCs w:val="22"/>
        </w:rPr>
        <w:t>ří</w:t>
      </w:r>
      <w:r w:rsidRPr="00FF1016">
        <w:rPr>
          <w:szCs w:val="22"/>
        </w:rPr>
        <w:t>zen</w:t>
      </w:r>
      <w:r w:rsidRPr="00FF1016">
        <w:rPr>
          <w:rFonts w:hint="eastAsia"/>
          <w:szCs w:val="22"/>
        </w:rPr>
        <w:t>í</w:t>
      </w:r>
      <w:r w:rsidRPr="00FF1016">
        <w:rPr>
          <w:szCs w:val="22"/>
        </w:rPr>
        <w:t>ch, mobiln</w:t>
      </w:r>
      <w:r w:rsidRPr="00FF1016">
        <w:rPr>
          <w:rFonts w:hint="eastAsia"/>
          <w:szCs w:val="22"/>
        </w:rPr>
        <w:t>í</w:t>
      </w:r>
      <w:r w:rsidRPr="00FF1016">
        <w:rPr>
          <w:szCs w:val="22"/>
        </w:rPr>
        <w:t xml:space="preserve"> poradensk</w:t>
      </w:r>
      <w:r w:rsidRPr="00FF1016">
        <w:rPr>
          <w:rFonts w:hint="eastAsia"/>
          <w:szCs w:val="22"/>
        </w:rPr>
        <w:t>é</w:t>
      </w:r>
      <w:r w:rsidRPr="00FF1016">
        <w:rPr>
          <w:szCs w:val="22"/>
        </w:rPr>
        <w:t xml:space="preserve"> t</w:t>
      </w:r>
      <w:r w:rsidRPr="00FF1016">
        <w:rPr>
          <w:rFonts w:hint="eastAsia"/>
          <w:szCs w:val="22"/>
        </w:rPr>
        <w:t>ý</w:t>
      </w:r>
      <w:r w:rsidRPr="00FF1016">
        <w:rPr>
          <w:szCs w:val="22"/>
        </w:rPr>
        <w:t>my</w:t>
      </w:r>
    </w:p>
    <w:p w:rsidR="009E2AAB" w:rsidRPr="00FF1016" w:rsidRDefault="009E2AAB" w:rsidP="00A60AC9">
      <w:pPr>
        <w:pStyle w:val="Odstavecseseznamem"/>
        <w:numPr>
          <w:ilvl w:val="1"/>
          <w:numId w:val="83"/>
        </w:numPr>
        <w:rPr>
          <w:szCs w:val="22"/>
        </w:rPr>
      </w:pPr>
      <w:r w:rsidRPr="00FF1016">
        <w:rPr>
          <w:szCs w:val="22"/>
        </w:rPr>
        <w:t>Ter</w:t>
      </w:r>
      <w:r w:rsidRPr="00FF1016">
        <w:rPr>
          <w:rFonts w:hint="eastAsia"/>
          <w:szCs w:val="22"/>
        </w:rPr>
        <w:t>é</w:t>
      </w:r>
      <w:r w:rsidRPr="00FF1016">
        <w:rPr>
          <w:szCs w:val="22"/>
        </w:rPr>
        <w:t>nn</w:t>
      </w:r>
      <w:r w:rsidRPr="00FF1016">
        <w:rPr>
          <w:rFonts w:hint="eastAsia"/>
          <w:szCs w:val="22"/>
        </w:rPr>
        <w:t>í</w:t>
      </w:r>
      <w:r w:rsidRPr="00FF1016">
        <w:rPr>
          <w:szCs w:val="22"/>
        </w:rPr>
        <w:t xml:space="preserve"> programy </w:t>
      </w:r>
      <w:r w:rsidRPr="00FF1016">
        <w:rPr>
          <w:rFonts w:hint="eastAsia"/>
          <w:szCs w:val="22"/>
        </w:rPr>
        <w:t>–</w:t>
      </w:r>
      <w:r w:rsidRPr="00FF1016">
        <w:rPr>
          <w:szCs w:val="22"/>
        </w:rPr>
        <w:t xml:space="preserve"> p</w:t>
      </w:r>
      <w:r w:rsidRPr="00FF1016">
        <w:rPr>
          <w:rFonts w:hint="eastAsia"/>
          <w:szCs w:val="22"/>
        </w:rPr>
        <w:t>ů</w:t>
      </w:r>
      <w:r w:rsidRPr="00FF1016">
        <w:rPr>
          <w:szCs w:val="22"/>
        </w:rPr>
        <w:t>soben</w:t>
      </w:r>
      <w:r w:rsidRPr="00FF1016">
        <w:rPr>
          <w:rFonts w:hint="eastAsia"/>
          <w:szCs w:val="22"/>
        </w:rPr>
        <w:t>í</w:t>
      </w:r>
      <w:r w:rsidRPr="00FF1016">
        <w:rPr>
          <w:szCs w:val="22"/>
        </w:rPr>
        <w:t xml:space="preserve"> v ter</w:t>
      </w:r>
      <w:r w:rsidRPr="00FF1016">
        <w:rPr>
          <w:rFonts w:hint="eastAsia"/>
          <w:szCs w:val="22"/>
        </w:rPr>
        <w:t>é</w:t>
      </w:r>
      <w:r w:rsidRPr="00FF1016">
        <w:rPr>
          <w:szCs w:val="22"/>
        </w:rPr>
        <w:t>nu, preventivn</w:t>
      </w:r>
      <w:r w:rsidRPr="00FF1016">
        <w:rPr>
          <w:rFonts w:hint="eastAsia"/>
          <w:szCs w:val="22"/>
        </w:rPr>
        <w:t>í</w:t>
      </w:r>
      <w:r w:rsidRPr="00FF1016">
        <w:rPr>
          <w:szCs w:val="22"/>
        </w:rPr>
        <w:t xml:space="preserve"> aktivity</w:t>
      </w:r>
      <w:r w:rsidRPr="00FF1016">
        <w:rPr>
          <w:rFonts w:hint="eastAsia"/>
          <w:szCs w:val="22"/>
        </w:rPr>
        <w:t>…</w:t>
      </w:r>
    </w:p>
    <w:p w:rsidR="009E2AAB" w:rsidRPr="00FF1016" w:rsidRDefault="009E2AAB" w:rsidP="00A60AC9">
      <w:pPr>
        <w:pStyle w:val="Odstavecseseznamem"/>
        <w:numPr>
          <w:ilvl w:val="1"/>
          <w:numId w:val="83"/>
        </w:numPr>
        <w:rPr>
          <w:szCs w:val="22"/>
        </w:rPr>
      </w:pPr>
      <w:r w:rsidRPr="00FF1016">
        <w:rPr>
          <w:szCs w:val="22"/>
        </w:rPr>
        <w:t>Soci</w:t>
      </w:r>
      <w:r w:rsidRPr="00FF1016">
        <w:rPr>
          <w:rFonts w:hint="eastAsia"/>
          <w:szCs w:val="22"/>
        </w:rPr>
        <w:t>á</w:t>
      </w:r>
      <w:r w:rsidRPr="00FF1016">
        <w:rPr>
          <w:szCs w:val="22"/>
        </w:rPr>
        <w:t>ln</w:t>
      </w:r>
      <w:r w:rsidRPr="00FF1016">
        <w:rPr>
          <w:rFonts w:hint="eastAsia"/>
          <w:szCs w:val="22"/>
        </w:rPr>
        <w:t>ě</w:t>
      </w:r>
      <w:r w:rsidRPr="00FF1016">
        <w:rPr>
          <w:szCs w:val="22"/>
        </w:rPr>
        <w:t xml:space="preserve">  aktiviza</w:t>
      </w:r>
      <w:r w:rsidRPr="00FF1016">
        <w:rPr>
          <w:rFonts w:hint="eastAsia"/>
          <w:szCs w:val="22"/>
        </w:rPr>
        <w:t>č</w:t>
      </w:r>
      <w:r w:rsidRPr="00FF1016">
        <w:rPr>
          <w:szCs w:val="22"/>
        </w:rPr>
        <w:t>n</w:t>
      </w:r>
      <w:r w:rsidRPr="00FF1016">
        <w:rPr>
          <w:rFonts w:hint="eastAsia"/>
          <w:szCs w:val="22"/>
        </w:rPr>
        <w:t>í</w:t>
      </w:r>
      <w:r w:rsidRPr="00FF1016">
        <w:rPr>
          <w:szCs w:val="22"/>
        </w:rPr>
        <w:t xml:space="preserve">  slu</w:t>
      </w:r>
      <w:r w:rsidRPr="00FF1016">
        <w:rPr>
          <w:rFonts w:hint="eastAsia"/>
          <w:szCs w:val="22"/>
        </w:rPr>
        <w:t>ž</w:t>
      </w:r>
      <w:r w:rsidRPr="00FF1016">
        <w:rPr>
          <w:szCs w:val="22"/>
        </w:rPr>
        <w:t>by  pro  rodiny  s  d</w:t>
      </w:r>
      <w:r w:rsidRPr="00FF1016">
        <w:rPr>
          <w:rFonts w:hint="eastAsia"/>
          <w:szCs w:val="22"/>
        </w:rPr>
        <w:t>ě</w:t>
      </w:r>
      <w:r w:rsidRPr="00FF1016">
        <w:rPr>
          <w:szCs w:val="22"/>
        </w:rPr>
        <w:t xml:space="preserve">tmi </w:t>
      </w:r>
      <w:r w:rsidRPr="00FF1016">
        <w:rPr>
          <w:rFonts w:hint="eastAsia"/>
          <w:szCs w:val="22"/>
        </w:rPr>
        <w:t>–</w:t>
      </w:r>
      <w:r w:rsidRPr="00FF1016">
        <w:rPr>
          <w:szCs w:val="22"/>
        </w:rPr>
        <w:t xml:space="preserve"> podpora d</w:t>
      </w:r>
      <w:r w:rsidRPr="00FF1016">
        <w:rPr>
          <w:rFonts w:hint="eastAsia"/>
          <w:szCs w:val="22"/>
        </w:rPr>
        <w:t>ě</w:t>
      </w:r>
      <w:r w:rsidRPr="00FF1016">
        <w:rPr>
          <w:szCs w:val="22"/>
        </w:rPr>
        <w:t>t</w:t>
      </w:r>
      <w:r w:rsidRPr="00FF1016">
        <w:rPr>
          <w:rFonts w:hint="eastAsia"/>
          <w:szCs w:val="22"/>
        </w:rPr>
        <w:t>í</w:t>
      </w:r>
      <w:r w:rsidRPr="00FF1016">
        <w:rPr>
          <w:szCs w:val="22"/>
        </w:rPr>
        <w:t xml:space="preserve"> ohro</w:t>
      </w:r>
      <w:r w:rsidRPr="00FF1016">
        <w:rPr>
          <w:rFonts w:hint="eastAsia"/>
          <w:szCs w:val="22"/>
        </w:rPr>
        <w:t>ž</w:t>
      </w:r>
      <w:r w:rsidRPr="00FF1016">
        <w:rPr>
          <w:szCs w:val="22"/>
        </w:rPr>
        <w:t>en</w:t>
      </w:r>
      <w:r w:rsidRPr="00FF1016">
        <w:rPr>
          <w:rFonts w:hint="eastAsia"/>
          <w:szCs w:val="22"/>
        </w:rPr>
        <w:t>ý</w:t>
      </w:r>
      <w:r w:rsidRPr="00FF1016">
        <w:rPr>
          <w:szCs w:val="22"/>
        </w:rPr>
        <w:t xml:space="preserve">ch </w:t>
      </w:r>
      <w:r w:rsidRPr="00FF1016">
        <w:rPr>
          <w:rFonts w:hint="eastAsia"/>
          <w:szCs w:val="22"/>
        </w:rPr>
        <w:t>ž</w:t>
      </w:r>
      <w:r w:rsidRPr="00FF1016">
        <w:rPr>
          <w:szCs w:val="22"/>
        </w:rPr>
        <w:t>ivotem v t</w:t>
      </w:r>
      <w:r w:rsidRPr="00FF1016">
        <w:rPr>
          <w:rFonts w:hint="eastAsia"/>
          <w:szCs w:val="22"/>
        </w:rPr>
        <w:t>ěž</w:t>
      </w:r>
      <w:r w:rsidRPr="00FF1016">
        <w:rPr>
          <w:szCs w:val="22"/>
        </w:rPr>
        <w:t>k</w:t>
      </w:r>
      <w:r w:rsidRPr="00FF1016">
        <w:rPr>
          <w:rFonts w:hint="eastAsia"/>
          <w:szCs w:val="22"/>
        </w:rPr>
        <w:t>é</w:t>
      </w:r>
      <w:r w:rsidRPr="00FF1016">
        <w:rPr>
          <w:szCs w:val="22"/>
        </w:rPr>
        <w:t xml:space="preserve"> soci</w:t>
      </w:r>
      <w:r w:rsidRPr="00FF1016">
        <w:rPr>
          <w:rFonts w:hint="eastAsia"/>
          <w:szCs w:val="22"/>
        </w:rPr>
        <w:t>á</w:t>
      </w:r>
      <w:r w:rsidRPr="00FF1016">
        <w:rPr>
          <w:szCs w:val="22"/>
        </w:rPr>
        <w:t>ln</w:t>
      </w:r>
      <w:r w:rsidRPr="00FF1016">
        <w:rPr>
          <w:rFonts w:hint="eastAsia"/>
          <w:szCs w:val="22"/>
        </w:rPr>
        <w:t>í</w:t>
      </w:r>
      <w:r w:rsidRPr="00FF1016">
        <w:rPr>
          <w:szCs w:val="22"/>
        </w:rPr>
        <w:t xml:space="preserve"> situaci</w:t>
      </w:r>
    </w:p>
    <w:p w:rsidR="009E2AAB" w:rsidRPr="00FF1016" w:rsidRDefault="009E2AAB" w:rsidP="00A60AC9">
      <w:pPr>
        <w:pStyle w:val="Odstavecseseznamem"/>
        <w:numPr>
          <w:ilvl w:val="1"/>
          <w:numId w:val="83"/>
        </w:numPr>
        <w:rPr>
          <w:szCs w:val="22"/>
        </w:rPr>
      </w:pPr>
      <w:r w:rsidRPr="00FF1016">
        <w:rPr>
          <w:szCs w:val="22"/>
        </w:rPr>
        <w:t>Ran</w:t>
      </w:r>
      <w:r w:rsidRPr="00FF1016">
        <w:rPr>
          <w:rFonts w:hint="eastAsia"/>
          <w:szCs w:val="22"/>
        </w:rPr>
        <w:t>á</w:t>
      </w:r>
      <w:r w:rsidRPr="00FF1016">
        <w:rPr>
          <w:szCs w:val="22"/>
        </w:rPr>
        <w:t xml:space="preserve"> p</w:t>
      </w:r>
      <w:r w:rsidRPr="00FF1016">
        <w:rPr>
          <w:rFonts w:hint="eastAsia"/>
          <w:szCs w:val="22"/>
        </w:rPr>
        <w:t>éč</w:t>
      </w:r>
      <w:r w:rsidRPr="00FF1016">
        <w:rPr>
          <w:szCs w:val="22"/>
        </w:rPr>
        <w:t xml:space="preserve">e </w:t>
      </w:r>
      <w:r w:rsidRPr="00FF1016">
        <w:rPr>
          <w:rFonts w:hint="eastAsia"/>
          <w:szCs w:val="22"/>
        </w:rPr>
        <w:t>–</w:t>
      </w:r>
      <w:r w:rsidRPr="00FF1016">
        <w:rPr>
          <w:szCs w:val="22"/>
        </w:rPr>
        <w:t xml:space="preserve"> d</w:t>
      </w:r>
      <w:r w:rsidRPr="00FF1016">
        <w:rPr>
          <w:rFonts w:hint="eastAsia"/>
          <w:szCs w:val="22"/>
        </w:rPr>
        <w:t>ě</w:t>
      </w:r>
      <w:r w:rsidRPr="00FF1016">
        <w:rPr>
          <w:szCs w:val="22"/>
        </w:rPr>
        <w:t>ti do 7 let se specifick</w:t>
      </w:r>
      <w:r w:rsidRPr="00FF1016">
        <w:rPr>
          <w:rFonts w:hint="eastAsia"/>
          <w:szCs w:val="22"/>
        </w:rPr>
        <w:t>ý</w:t>
      </w:r>
      <w:r w:rsidRPr="00FF1016">
        <w:rPr>
          <w:szCs w:val="22"/>
        </w:rPr>
        <w:t>mi pot</w:t>
      </w:r>
      <w:r w:rsidRPr="00FF1016">
        <w:rPr>
          <w:rFonts w:hint="eastAsia"/>
          <w:szCs w:val="22"/>
        </w:rPr>
        <w:t>ř</w:t>
      </w:r>
      <w:r w:rsidRPr="00FF1016">
        <w:rPr>
          <w:szCs w:val="22"/>
        </w:rPr>
        <w:t>ebami</w:t>
      </w:r>
    </w:p>
    <w:p w:rsidR="009E2AAB" w:rsidRPr="00FF1016" w:rsidRDefault="009E2AAB" w:rsidP="00A60AC9">
      <w:pPr>
        <w:pStyle w:val="Odstavecseseznamem"/>
        <w:numPr>
          <w:ilvl w:val="1"/>
          <w:numId w:val="83"/>
        </w:numPr>
        <w:rPr>
          <w:szCs w:val="22"/>
        </w:rPr>
      </w:pPr>
      <w:r w:rsidRPr="00FF1016">
        <w:rPr>
          <w:szCs w:val="22"/>
        </w:rPr>
        <w:t>Kontaktn</w:t>
      </w:r>
      <w:r w:rsidRPr="00FF1016">
        <w:rPr>
          <w:rFonts w:hint="eastAsia"/>
          <w:szCs w:val="22"/>
        </w:rPr>
        <w:t>í</w:t>
      </w:r>
      <w:r w:rsidRPr="00FF1016">
        <w:rPr>
          <w:szCs w:val="22"/>
        </w:rPr>
        <w:t xml:space="preserve"> centra </w:t>
      </w:r>
      <w:r w:rsidRPr="00FF1016">
        <w:rPr>
          <w:rFonts w:hint="eastAsia"/>
          <w:szCs w:val="22"/>
        </w:rPr>
        <w:t>–</w:t>
      </w:r>
      <w:r w:rsidRPr="00FF1016">
        <w:rPr>
          <w:szCs w:val="22"/>
        </w:rPr>
        <w:t xml:space="preserve"> n</w:t>
      </w:r>
      <w:r w:rsidRPr="00FF1016">
        <w:rPr>
          <w:rFonts w:hint="eastAsia"/>
          <w:szCs w:val="22"/>
        </w:rPr>
        <w:t>í</w:t>
      </w:r>
      <w:r w:rsidRPr="00FF1016">
        <w:rPr>
          <w:szCs w:val="22"/>
        </w:rPr>
        <w:t>zkoprahov</w:t>
      </w:r>
      <w:r w:rsidRPr="00FF1016">
        <w:rPr>
          <w:rFonts w:hint="eastAsia"/>
          <w:szCs w:val="22"/>
        </w:rPr>
        <w:t>á</w:t>
      </w:r>
      <w:r w:rsidRPr="00FF1016">
        <w:rPr>
          <w:szCs w:val="22"/>
        </w:rPr>
        <w:t xml:space="preserve"> za</w:t>
      </w:r>
      <w:r w:rsidRPr="00FF1016">
        <w:rPr>
          <w:rFonts w:hint="eastAsia"/>
          <w:szCs w:val="22"/>
        </w:rPr>
        <w:t>ří</w:t>
      </w:r>
      <w:r w:rsidRPr="00FF1016">
        <w:rPr>
          <w:szCs w:val="22"/>
        </w:rPr>
        <w:t>zen</w:t>
      </w:r>
      <w:r w:rsidRPr="00FF1016">
        <w:rPr>
          <w:rFonts w:hint="eastAsia"/>
          <w:szCs w:val="22"/>
        </w:rPr>
        <w:t>í</w:t>
      </w:r>
      <w:r w:rsidRPr="00FF1016">
        <w:rPr>
          <w:szCs w:val="22"/>
        </w:rPr>
        <w:t xml:space="preserve"> pro osoby se z</w:t>
      </w:r>
      <w:r w:rsidRPr="00FF1016">
        <w:rPr>
          <w:rFonts w:hint="eastAsia"/>
          <w:szCs w:val="22"/>
        </w:rPr>
        <w:t>á</w:t>
      </w:r>
      <w:r w:rsidRPr="00FF1016">
        <w:rPr>
          <w:szCs w:val="22"/>
        </w:rPr>
        <w:t>vislostmi</w:t>
      </w:r>
    </w:p>
    <w:p w:rsidR="009E2AAB" w:rsidRPr="00FF1016" w:rsidRDefault="009E2AAB" w:rsidP="00A60AC9">
      <w:pPr>
        <w:pStyle w:val="Odstavecseseznamem"/>
        <w:numPr>
          <w:ilvl w:val="1"/>
          <w:numId w:val="83"/>
        </w:numPr>
        <w:rPr>
          <w:szCs w:val="22"/>
        </w:rPr>
      </w:pPr>
      <w:r w:rsidRPr="00FF1016">
        <w:rPr>
          <w:szCs w:val="22"/>
        </w:rPr>
        <w:lastRenderedPageBreak/>
        <w:t>N</w:t>
      </w:r>
      <w:r w:rsidRPr="00FF1016">
        <w:rPr>
          <w:rFonts w:hint="eastAsia"/>
          <w:szCs w:val="22"/>
        </w:rPr>
        <w:t>í</w:t>
      </w:r>
      <w:r w:rsidRPr="00FF1016">
        <w:rPr>
          <w:szCs w:val="22"/>
        </w:rPr>
        <w:t>zkoprahov</w:t>
      </w:r>
      <w:r w:rsidRPr="00FF1016">
        <w:rPr>
          <w:rFonts w:hint="eastAsia"/>
          <w:szCs w:val="22"/>
        </w:rPr>
        <w:t>á</w:t>
      </w:r>
      <w:r w:rsidRPr="00FF1016">
        <w:rPr>
          <w:szCs w:val="22"/>
        </w:rPr>
        <w:t xml:space="preserve"> za</w:t>
      </w:r>
      <w:r w:rsidRPr="00FF1016">
        <w:rPr>
          <w:rFonts w:hint="eastAsia"/>
          <w:szCs w:val="22"/>
        </w:rPr>
        <w:t>ří</w:t>
      </w:r>
      <w:r w:rsidRPr="00FF1016">
        <w:rPr>
          <w:szCs w:val="22"/>
        </w:rPr>
        <w:t>zen</w:t>
      </w:r>
      <w:r w:rsidRPr="00FF1016">
        <w:rPr>
          <w:rFonts w:hint="eastAsia"/>
          <w:szCs w:val="22"/>
        </w:rPr>
        <w:t>í</w:t>
      </w:r>
      <w:r w:rsidRPr="00FF1016">
        <w:rPr>
          <w:szCs w:val="22"/>
        </w:rPr>
        <w:t xml:space="preserve"> pro d</w:t>
      </w:r>
      <w:r w:rsidRPr="00FF1016">
        <w:rPr>
          <w:rFonts w:hint="eastAsia"/>
          <w:szCs w:val="22"/>
        </w:rPr>
        <w:t>ě</w:t>
      </w:r>
      <w:r w:rsidRPr="00FF1016">
        <w:rPr>
          <w:szCs w:val="22"/>
        </w:rPr>
        <w:t>ti a ml</w:t>
      </w:r>
      <w:r w:rsidRPr="00FF1016">
        <w:rPr>
          <w:rFonts w:hint="eastAsia"/>
          <w:szCs w:val="22"/>
        </w:rPr>
        <w:t>á</w:t>
      </w:r>
      <w:r w:rsidRPr="00FF1016">
        <w:rPr>
          <w:szCs w:val="22"/>
        </w:rPr>
        <w:t>de</w:t>
      </w:r>
      <w:r w:rsidRPr="00FF1016">
        <w:rPr>
          <w:rFonts w:hint="eastAsia"/>
          <w:szCs w:val="22"/>
        </w:rPr>
        <w:t>ž</w:t>
      </w:r>
      <w:r w:rsidRPr="00FF1016">
        <w:rPr>
          <w:szCs w:val="22"/>
        </w:rPr>
        <w:t xml:space="preserve"> </w:t>
      </w:r>
      <w:r w:rsidRPr="00FF1016">
        <w:rPr>
          <w:rFonts w:hint="eastAsia"/>
          <w:szCs w:val="22"/>
        </w:rPr>
        <w:t>–</w:t>
      </w:r>
      <w:r w:rsidRPr="00FF1016">
        <w:rPr>
          <w:szCs w:val="22"/>
        </w:rPr>
        <w:t xml:space="preserve">  pro osoby 15-26 let ohro</w:t>
      </w:r>
      <w:r w:rsidRPr="00FF1016">
        <w:rPr>
          <w:rFonts w:hint="eastAsia"/>
          <w:szCs w:val="22"/>
        </w:rPr>
        <w:t>ž</w:t>
      </w:r>
      <w:r w:rsidRPr="00FF1016">
        <w:rPr>
          <w:szCs w:val="22"/>
        </w:rPr>
        <w:t>en</w:t>
      </w:r>
      <w:r w:rsidRPr="00FF1016">
        <w:rPr>
          <w:rFonts w:hint="eastAsia"/>
          <w:szCs w:val="22"/>
        </w:rPr>
        <w:t>é</w:t>
      </w:r>
      <w:r w:rsidRPr="00FF1016">
        <w:rPr>
          <w:szCs w:val="22"/>
        </w:rPr>
        <w:t xml:space="preserve"> zp</w:t>
      </w:r>
      <w:r w:rsidRPr="00FF1016">
        <w:rPr>
          <w:rFonts w:hint="eastAsia"/>
          <w:szCs w:val="22"/>
        </w:rPr>
        <w:t>ů</w:t>
      </w:r>
      <w:r w:rsidRPr="00FF1016">
        <w:rPr>
          <w:szCs w:val="22"/>
        </w:rPr>
        <w:t xml:space="preserve">sobem </w:t>
      </w:r>
      <w:r w:rsidRPr="00FF1016">
        <w:rPr>
          <w:rFonts w:hint="eastAsia"/>
          <w:szCs w:val="22"/>
        </w:rPr>
        <w:t>ž</w:t>
      </w:r>
      <w:r w:rsidRPr="00FF1016">
        <w:rPr>
          <w:szCs w:val="22"/>
        </w:rPr>
        <w:t>ivota a soci</w:t>
      </w:r>
      <w:r w:rsidRPr="00FF1016">
        <w:rPr>
          <w:rFonts w:hint="eastAsia"/>
          <w:szCs w:val="22"/>
        </w:rPr>
        <w:t>á</w:t>
      </w:r>
      <w:r w:rsidRPr="00FF1016">
        <w:rPr>
          <w:szCs w:val="22"/>
        </w:rPr>
        <w:t>ln</w:t>
      </w:r>
      <w:r w:rsidRPr="00FF1016">
        <w:rPr>
          <w:rFonts w:hint="eastAsia"/>
          <w:szCs w:val="22"/>
        </w:rPr>
        <w:t>í</w:t>
      </w:r>
      <w:r w:rsidRPr="00FF1016">
        <w:rPr>
          <w:szCs w:val="22"/>
        </w:rPr>
        <w:t xml:space="preserve"> situac</w:t>
      </w:r>
      <w:r w:rsidRPr="00FF1016">
        <w:rPr>
          <w:rFonts w:hint="eastAsia"/>
          <w:szCs w:val="22"/>
        </w:rPr>
        <w:t>í</w:t>
      </w:r>
      <w:r w:rsidRPr="00FF1016">
        <w:rPr>
          <w:szCs w:val="22"/>
        </w:rPr>
        <w:t>, za</w:t>
      </w:r>
      <w:r w:rsidRPr="00FF1016">
        <w:rPr>
          <w:rFonts w:hint="eastAsia"/>
          <w:szCs w:val="22"/>
        </w:rPr>
        <w:t>č</w:t>
      </w:r>
      <w:r w:rsidRPr="00FF1016">
        <w:rPr>
          <w:szCs w:val="22"/>
        </w:rPr>
        <w:t>len</w:t>
      </w:r>
      <w:r w:rsidRPr="00FF1016">
        <w:rPr>
          <w:rFonts w:hint="eastAsia"/>
          <w:szCs w:val="22"/>
        </w:rPr>
        <w:t>ě</w:t>
      </w:r>
      <w:r w:rsidRPr="00FF1016">
        <w:rPr>
          <w:szCs w:val="22"/>
        </w:rPr>
        <w:t>n</w:t>
      </w:r>
      <w:r w:rsidRPr="00FF1016">
        <w:rPr>
          <w:rFonts w:hint="eastAsia"/>
          <w:szCs w:val="22"/>
        </w:rPr>
        <w:t>í</w:t>
      </w:r>
      <w:r w:rsidRPr="00FF1016">
        <w:rPr>
          <w:szCs w:val="22"/>
        </w:rPr>
        <w:t xml:space="preserve"> do spole</w:t>
      </w:r>
      <w:r w:rsidRPr="00FF1016">
        <w:rPr>
          <w:rFonts w:hint="eastAsia"/>
          <w:szCs w:val="22"/>
        </w:rPr>
        <w:t>č</w:t>
      </w:r>
      <w:r w:rsidRPr="00FF1016">
        <w:rPr>
          <w:szCs w:val="22"/>
        </w:rPr>
        <w:t>nosti a na trh pr</w:t>
      </w:r>
      <w:r w:rsidRPr="00FF1016">
        <w:rPr>
          <w:rFonts w:hint="eastAsia"/>
          <w:szCs w:val="22"/>
        </w:rPr>
        <w:t>á</w:t>
      </w:r>
      <w:r w:rsidRPr="00FF1016">
        <w:rPr>
          <w:szCs w:val="22"/>
        </w:rPr>
        <w:t>ce</w:t>
      </w:r>
    </w:p>
    <w:p w:rsidR="009E2AAB" w:rsidRPr="00FF1016" w:rsidRDefault="009E2AAB" w:rsidP="00A60AC9">
      <w:pPr>
        <w:pStyle w:val="Odstavecseseznamem"/>
        <w:numPr>
          <w:ilvl w:val="1"/>
          <w:numId w:val="83"/>
        </w:numPr>
        <w:rPr>
          <w:szCs w:val="22"/>
        </w:rPr>
      </w:pPr>
      <w:r w:rsidRPr="00FF1016">
        <w:rPr>
          <w:szCs w:val="22"/>
        </w:rPr>
        <w:t>Soci</w:t>
      </w:r>
      <w:r w:rsidRPr="00FF1016">
        <w:rPr>
          <w:rFonts w:hint="eastAsia"/>
          <w:szCs w:val="22"/>
        </w:rPr>
        <w:t>á</w:t>
      </w:r>
      <w:r w:rsidRPr="00FF1016">
        <w:rPr>
          <w:szCs w:val="22"/>
        </w:rPr>
        <w:t>ln</w:t>
      </w:r>
      <w:r w:rsidRPr="00FF1016">
        <w:rPr>
          <w:rFonts w:hint="eastAsia"/>
          <w:szCs w:val="22"/>
        </w:rPr>
        <w:t>í</w:t>
      </w:r>
      <w:r w:rsidRPr="00FF1016">
        <w:rPr>
          <w:szCs w:val="22"/>
        </w:rPr>
        <w:t xml:space="preserve"> rehabilitace </w:t>
      </w:r>
      <w:r w:rsidRPr="00FF1016">
        <w:rPr>
          <w:rFonts w:hint="eastAsia"/>
          <w:szCs w:val="22"/>
        </w:rPr>
        <w:t>–</w:t>
      </w:r>
      <w:r w:rsidRPr="00FF1016">
        <w:rPr>
          <w:szCs w:val="22"/>
        </w:rPr>
        <w:t xml:space="preserve"> ter</w:t>
      </w:r>
      <w:r w:rsidRPr="00FF1016">
        <w:rPr>
          <w:rFonts w:hint="eastAsia"/>
          <w:szCs w:val="22"/>
        </w:rPr>
        <w:t>é</w:t>
      </w:r>
      <w:r w:rsidRPr="00FF1016">
        <w:rPr>
          <w:szCs w:val="22"/>
        </w:rPr>
        <w:t>nn</w:t>
      </w:r>
      <w:r w:rsidRPr="00FF1016">
        <w:rPr>
          <w:rFonts w:hint="eastAsia"/>
          <w:szCs w:val="22"/>
        </w:rPr>
        <w:t>í</w:t>
      </w:r>
      <w:r w:rsidRPr="00FF1016">
        <w:rPr>
          <w:szCs w:val="22"/>
        </w:rPr>
        <w:t xml:space="preserve"> a ambulantn</w:t>
      </w:r>
      <w:r w:rsidRPr="00FF1016">
        <w:rPr>
          <w:rFonts w:hint="eastAsia"/>
          <w:szCs w:val="22"/>
        </w:rPr>
        <w:t>í</w:t>
      </w:r>
      <w:r w:rsidRPr="00FF1016">
        <w:rPr>
          <w:szCs w:val="22"/>
        </w:rPr>
        <w:t xml:space="preserve"> slu</w:t>
      </w:r>
      <w:r w:rsidRPr="00FF1016">
        <w:rPr>
          <w:rFonts w:hint="eastAsia"/>
          <w:szCs w:val="22"/>
        </w:rPr>
        <w:t>ž</w:t>
      </w:r>
      <w:r w:rsidRPr="00FF1016">
        <w:rPr>
          <w:szCs w:val="22"/>
        </w:rPr>
        <w:t>by sm</w:t>
      </w:r>
      <w:r w:rsidRPr="00FF1016">
        <w:rPr>
          <w:rFonts w:hint="eastAsia"/>
          <w:szCs w:val="22"/>
        </w:rPr>
        <w:t>ěř</w:t>
      </w:r>
      <w:r w:rsidRPr="00FF1016">
        <w:rPr>
          <w:szCs w:val="22"/>
        </w:rPr>
        <w:t>uj</w:t>
      </w:r>
      <w:r w:rsidRPr="00FF1016">
        <w:rPr>
          <w:rFonts w:hint="eastAsia"/>
          <w:szCs w:val="22"/>
        </w:rPr>
        <w:t>í</w:t>
      </w:r>
      <w:r w:rsidRPr="00FF1016">
        <w:rPr>
          <w:szCs w:val="22"/>
        </w:rPr>
        <w:t>c</w:t>
      </w:r>
      <w:r w:rsidRPr="00FF1016">
        <w:rPr>
          <w:rFonts w:hint="eastAsia"/>
          <w:szCs w:val="22"/>
        </w:rPr>
        <w:t>í</w:t>
      </w:r>
      <w:r w:rsidRPr="00FF1016">
        <w:rPr>
          <w:szCs w:val="22"/>
        </w:rPr>
        <w:t xml:space="preserve"> osoby k samostatn</w:t>
      </w:r>
      <w:r w:rsidRPr="00FF1016">
        <w:rPr>
          <w:rFonts w:hint="eastAsia"/>
          <w:szCs w:val="22"/>
        </w:rPr>
        <w:t>é</w:t>
      </w:r>
      <w:r w:rsidRPr="00FF1016">
        <w:rPr>
          <w:szCs w:val="22"/>
        </w:rPr>
        <w:t xml:space="preserve">mu </w:t>
      </w:r>
      <w:r w:rsidRPr="00FF1016">
        <w:rPr>
          <w:rFonts w:hint="eastAsia"/>
          <w:szCs w:val="22"/>
        </w:rPr>
        <w:t>ž</w:t>
      </w:r>
      <w:r w:rsidRPr="00FF1016">
        <w:rPr>
          <w:szCs w:val="22"/>
        </w:rPr>
        <w:t>ivotu v</w:t>
      </w:r>
      <w:r w:rsidRPr="00FF1016">
        <w:rPr>
          <w:rFonts w:hint="eastAsia"/>
          <w:szCs w:val="22"/>
        </w:rPr>
        <w:t>č</w:t>
      </w:r>
      <w:r w:rsidRPr="00FF1016">
        <w:rPr>
          <w:szCs w:val="22"/>
        </w:rPr>
        <w:t>etn</w:t>
      </w:r>
      <w:r w:rsidRPr="00FF1016">
        <w:rPr>
          <w:rFonts w:hint="eastAsia"/>
          <w:szCs w:val="22"/>
        </w:rPr>
        <w:t>ě</w:t>
      </w:r>
      <w:r w:rsidRPr="00FF1016">
        <w:rPr>
          <w:szCs w:val="22"/>
        </w:rPr>
        <w:t xml:space="preserve"> pracovn</w:t>
      </w:r>
      <w:r w:rsidRPr="00FF1016">
        <w:rPr>
          <w:rFonts w:hint="eastAsia"/>
          <w:szCs w:val="22"/>
        </w:rPr>
        <w:t>í</w:t>
      </w:r>
      <w:r w:rsidRPr="00FF1016">
        <w:rPr>
          <w:szCs w:val="22"/>
        </w:rPr>
        <w:t>ho</w:t>
      </w:r>
    </w:p>
    <w:p w:rsidR="009E2AAB" w:rsidRPr="00FF1016" w:rsidRDefault="009E2AAB" w:rsidP="00A60AC9">
      <w:pPr>
        <w:pStyle w:val="Odstavecseseznamem"/>
        <w:numPr>
          <w:ilvl w:val="1"/>
          <w:numId w:val="83"/>
        </w:numPr>
        <w:rPr>
          <w:szCs w:val="22"/>
        </w:rPr>
      </w:pPr>
      <w:r w:rsidRPr="00FF1016">
        <w:rPr>
          <w:szCs w:val="22"/>
        </w:rPr>
        <w:t>Soci</w:t>
      </w:r>
      <w:r w:rsidRPr="00FF1016">
        <w:rPr>
          <w:rFonts w:hint="eastAsia"/>
          <w:szCs w:val="22"/>
        </w:rPr>
        <w:t>á</w:t>
      </w:r>
      <w:r w:rsidRPr="00FF1016">
        <w:rPr>
          <w:szCs w:val="22"/>
        </w:rPr>
        <w:t>ln</w:t>
      </w:r>
      <w:r w:rsidRPr="00FF1016">
        <w:rPr>
          <w:rFonts w:hint="eastAsia"/>
          <w:szCs w:val="22"/>
        </w:rPr>
        <w:t>ě</w:t>
      </w:r>
      <w:r w:rsidRPr="00FF1016">
        <w:rPr>
          <w:szCs w:val="22"/>
        </w:rPr>
        <w:t xml:space="preserve">  terapeutick</w:t>
      </w:r>
      <w:r w:rsidRPr="00FF1016">
        <w:rPr>
          <w:rFonts w:hint="eastAsia"/>
          <w:szCs w:val="22"/>
        </w:rPr>
        <w:t>é</w:t>
      </w:r>
      <w:r w:rsidRPr="00FF1016">
        <w:rPr>
          <w:szCs w:val="22"/>
        </w:rPr>
        <w:t xml:space="preserve">  d</w:t>
      </w:r>
      <w:r w:rsidRPr="00FF1016">
        <w:rPr>
          <w:rFonts w:hint="eastAsia"/>
          <w:szCs w:val="22"/>
        </w:rPr>
        <w:t>í</w:t>
      </w:r>
      <w:r w:rsidRPr="00FF1016">
        <w:rPr>
          <w:szCs w:val="22"/>
        </w:rPr>
        <w:t xml:space="preserve">lny </w:t>
      </w:r>
      <w:r w:rsidRPr="00FF1016">
        <w:rPr>
          <w:rFonts w:hint="eastAsia"/>
          <w:szCs w:val="22"/>
        </w:rPr>
        <w:t>–</w:t>
      </w:r>
      <w:r w:rsidRPr="00FF1016">
        <w:rPr>
          <w:szCs w:val="22"/>
        </w:rPr>
        <w:t xml:space="preserve"> pro osoby se zdravotn</w:t>
      </w:r>
      <w:r w:rsidRPr="00FF1016">
        <w:rPr>
          <w:rFonts w:hint="eastAsia"/>
          <w:szCs w:val="22"/>
        </w:rPr>
        <w:t>í</w:t>
      </w:r>
      <w:r w:rsidRPr="00FF1016">
        <w:rPr>
          <w:szCs w:val="22"/>
        </w:rPr>
        <w:t>m posti</w:t>
      </w:r>
      <w:r w:rsidRPr="00FF1016">
        <w:rPr>
          <w:rFonts w:hint="eastAsia"/>
          <w:szCs w:val="22"/>
        </w:rPr>
        <w:t>ž</w:t>
      </w:r>
      <w:r w:rsidRPr="00FF1016">
        <w:rPr>
          <w:szCs w:val="22"/>
        </w:rPr>
        <w:t>en</w:t>
      </w:r>
      <w:r w:rsidRPr="00FF1016">
        <w:rPr>
          <w:rFonts w:hint="eastAsia"/>
          <w:szCs w:val="22"/>
        </w:rPr>
        <w:t>í</w:t>
      </w:r>
      <w:r w:rsidRPr="00FF1016">
        <w:rPr>
          <w:szCs w:val="22"/>
        </w:rPr>
        <w:t>m znemo</w:t>
      </w:r>
      <w:r w:rsidRPr="00FF1016">
        <w:rPr>
          <w:rFonts w:hint="eastAsia"/>
          <w:szCs w:val="22"/>
        </w:rPr>
        <w:t>žň</w:t>
      </w:r>
      <w:r w:rsidRPr="00FF1016">
        <w:rPr>
          <w:szCs w:val="22"/>
        </w:rPr>
        <w:t>uj</w:t>
      </w:r>
      <w:r w:rsidRPr="00FF1016">
        <w:rPr>
          <w:rFonts w:hint="eastAsia"/>
          <w:szCs w:val="22"/>
        </w:rPr>
        <w:t>í</w:t>
      </w:r>
      <w:r w:rsidRPr="00FF1016">
        <w:rPr>
          <w:szCs w:val="22"/>
        </w:rPr>
        <w:t>c</w:t>
      </w:r>
      <w:r w:rsidRPr="00FF1016">
        <w:rPr>
          <w:rFonts w:hint="eastAsia"/>
          <w:szCs w:val="22"/>
        </w:rPr>
        <w:t>í</w:t>
      </w:r>
      <w:r w:rsidRPr="00FF1016">
        <w:rPr>
          <w:szCs w:val="22"/>
        </w:rPr>
        <w:t>m za</w:t>
      </w:r>
      <w:r w:rsidRPr="00FF1016">
        <w:rPr>
          <w:rFonts w:hint="eastAsia"/>
          <w:szCs w:val="22"/>
        </w:rPr>
        <w:t>ř</w:t>
      </w:r>
      <w:r w:rsidRPr="00FF1016">
        <w:rPr>
          <w:szCs w:val="22"/>
        </w:rPr>
        <w:t>azen</w:t>
      </w:r>
      <w:r w:rsidRPr="00FF1016">
        <w:rPr>
          <w:rFonts w:hint="eastAsia"/>
          <w:szCs w:val="22"/>
        </w:rPr>
        <w:t>í</w:t>
      </w:r>
      <w:r w:rsidRPr="00FF1016">
        <w:rPr>
          <w:szCs w:val="22"/>
        </w:rPr>
        <w:t xml:space="preserve"> na trh pr</w:t>
      </w:r>
      <w:r w:rsidRPr="00FF1016">
        <w:rPr>
          <w:rFonts w:hint="eastAsia"/>
          <w:szCs w:val="22"/>
        </w:rPr>
        <w:t>á</w:t>
      </w:r>
      <w:r w:rsidRPr="00FF1016">
        <w:rPr>
          <w:szCs w:val="22"/>
        </w:rPr>
        <w:t>ce</w:t>
      </w:r>
    </w:p>
    <w:p w:rsidR="009E2AAB" w:rsidRPr="00FF1016" w:rsidRDefault="009E2AAB" w:rsidP="00A60AC9">
      <w:pPr>
        <w:pStyle w:val="Odstavecseseznamem"/>
        <w:numPr>
          <w:ilvl w:val="1"/>
          <w:numId w:val="83"/>
        </w:numPr>
        <w:rPr>
          <w:szCs w:val="22"/>
        </w:rPr>
      </w:pPr>
      <w:r w:rsidRPr="00FF1016">
        <w:rPr>
          <w:szCs w:val="22"/>
        </w:rPr>
        <w:t>Slu</w:t>
      </w:r>
      <w:r w:rsidRPr="00FF1016">
        <w:rPr>
          <w:rFonts w:hint="eastAsia"/>
          <w:szCs w:val="22"/>
        </w:rPr>
        <w:t>ž</w:t>
      </w:r>
      <w:r w:rsidRPr="00FF1016">
        <w:rPr>
          <w:szCs w:val="22"/>
        </w:rPr>
        <w:t>by  n</w:t>
      </w:r>
      <w:r w:rsidRPr="00FF1016">
        <w:rPr>
          <w:rFonts w:hint="eastAsia"/>
          <w:szCs w:val="22"/>
        </w:rPr>
        <w:t>á</w:t>
      </w:r>
      <w:r w:rsidRPr="00FF1016">
        <w:rPr>
          <w:szCs w:val="22"/>
        </w:rPr>
        <w:t>sledn</w:t>
      </w:r>
      <w:r w:rsidRPr="00FF1016">
        <w:rPr>
          <w:rFonts w:hint="eastAsia"/>
          <w:szCs w:val="22"/>
        </w:rPr>
        <w:t>é</w:t>
      </w:r>
      <w:r w:rsidRPr="00FF1016">
        <w:rPr>
          <w:szCs w:val="22"/>
        </w:rPr>
        <w:t xml:space="preserve">  p</w:t>
      </w:r>
      <w:r w:rsidRPr="00FF1016">
        <w:rPr>
          <w:rFonts w:hint="eastAsia"/>
          <w:szCs w:val="22"/>
        </w:rPr>
        <w:t>éč</w:t>
      </w:r>
      <w:r w:rsidRPr="00FF1016">
        <w:rPr>
          <w:szCs w:val="22"/>
        </w:rPr>
        <w:t>e  - ambulantn</w:t>
      </w:r>
      <w:r w:rsidRPr="00FF1016">
        <w:rPr>
          <w:rFonts w:hint="eastAsia"/>
          <w:szCs w:val="22"/>
        </w:rPr>
        <w:t>í</w:t>
      </w:r>
      <w:r w:rsidRPr="00FF1016">
        <w:rPr>
          <w:szCs w:val="22"/>
        </w:rPr>
        <w:t xml:space="preserve"> slu</w:t>
      </w:r>
      <w:r w:rsidRPr="00FF1016">
        <w:rPr>
          <w:rFonts w:hint="eastAsia"/>
          <w:szCs w:val="22"/>
        </w:rPr>
        <w:t>ž</w:t>
      </w:r>
      <w:r w:rsidRPr="00FF1016">
        <w:rPr>
          <w:szCs w:val="22"/>
        </w:rPr>
        <w:t>by pro du</w:t>
      </w:r>
      <w:r w:rsidRPr="00FF1016">
        <w:rPr>
          <w:rFonts w:hint="eastAsia"/>
          <w:szCs w:val="22"/>
        </w:rPr>
        <w:t>š</w:t>
      </w:r>
      <w:r w:rsidRPr="00FF1016">
        <w:rPr>
          <w:szCs w:val="22"/>
        </w:rPr>
        <w:t>evn</w:t>
      </w:r>
      <w:r w:rsidRPr="00FF1016">
        <w:rPr>
          <w:rFonts w:hint="eastAsia"/>
          <w:szCs w:val="22"/>
        </w:rPr>
        <w:t>ě</w:t>
      </w:r>
      <w:r w:rsidRPr="00FF1016">
        <w:rPr>
          <w:szCs w:val="22"/>
        </w:rPr>
        <w:t xml:space="preserve"> nemocn</w:t>
      </w:r>
      <w:r w:rsidRPr="00FF1016">
        <w:rPr>
          <w:rFonts w:hint="eastAsia"/>
          <w:szCs w:val="22"/>
        </w:rPr>
        <w:t>é</w:t>
      </w:r>
      <w:r w:rsidRPr="00FF1016">
        <w:rPr>
          <w:szCs w:val="22"/>
        </w:rPr>
        <w:t xml:space="preserve"> a z</w:t>
      </w:r>
      <w:r w:rsidRPr="00FF1016">
        <w:rPr>
          <w:rFonts w:hint="eastAsia"/>
          <w:szCs w:val="22"/>
        </w:rPr>
        <w:t>á</w:t>
      </w:r>
      <w:r w:rsidRPr="00FF1016">
        <w:rPr>
          <w:szCs w:val="22"/>
        </w:rPr>
        <w:t>visl</w:t>
      </w:r>
      <w:r w:rsidRPr="00FF1016">
        <w:rPr>
          <w:rFonts w:hint="eastAsia"/>
          <w:szCs w:val="22"/>
        </w:rPr>
        <w:t>é</w:t>
      </w:r>
      <w:r w:rsidRPr="00FF1016">
        <w:rPr>
          <w:szCs w:val="22"/>
        </w:rPr>
        <w:t xml:space="preserve"> po pobytu v za</w:t>
      </w:r>
      <w:r w:rsidRPr="00FF1016">
        <w:rPr>
          <w:rFonts w:hint="eastAsia"/>
          <w:szCs w:val="22"/>
        </w:rPr>
        <w:t>ří</w:t>
      </w:r>
      <w:r w:rsidRPr="00FF1016">
        <w:rPr>
          <w:szCs w:val="22"/>
        </w:rPr>
        <w:t>zen</w:t>
      </w:r>
      <w:r w:rsidRPr="00FF1016">
        <w:rPr>
          <w:rFonts w:hint="eastAsia"/>
          <w:szCs w:val="22"/>
        </w:rPr>
        <w:t>í</w:t>
      </w:r>
      <w:r w:rsidRPr="00FF1016">
        <w:rPr>
          <w:szCs w:val="22"/>
        </w:rPr>
        <w:t>ch</w:t>
      </w:r>
    </w:p>
    <w:p w:rsidR="009E2AAB" w:rsidRPr="00FF1016" w:rsidRDefault="009E2AAB" w:rsidP="00A60AC9">
      <w:pPr>
        <w:pStyle w:val="Odstavecseseznamem"/>
        <w:numPr>
          <w:ilvl w:val="1"/>
          <w:numId w:val="83"/>
        </w:numPr>
        <w:rPr>
          <w:szCs w:val="22"/>
        </w:rPr>
      </w:pPr>
      <w:r w:rsidRPr="00FF1016">
        <w:rPr>
          <w:szCs w:val="22"/>
        </w:rPr>
        <w:t>Podpora  samostatn</w:t>
      </w:r>
      <w:r w:rsidRPr="00FF1016">
        <w:rPr>
          <w:rFonts w:hint="eastAsia"/>
          <w:szCs w:val="22"/>
        </w:rPr>
        <w:t>é</w:t>
      </w:r>
      <w:r w:rsidRPr="00FF1016">
        <w:rPr>
          <w:szCs w:val="22"/>
        </w:rPr>
        <w:t>ho  bydlen</w:t>
      </w:r>
      <w:r w:rsidRPr="00FF1016">
        <w:rPr>
          <w:rFonts w:hint="eastAsia"/>
          <w:szCs w:val="22"/>
        </w:rPr>
        <w:t>í</w:t>
      </w:r>
      <w:r w:rsidRPr="00FF1016">
        <w:rPr>
          <w:szCs w:val="22"/>
        </w:rPr>
        <w:t xml:space="preserve"> </w:t>
      </w:r>
      <w:r w:rsidRPr="00FF1016">
        <w:rPr>
          <w:rFonts w:hint="eastAsia"/>
          <w:szCs w:val="22"/>
        </w:rPr>
        <w:t>–</w:t>
      </w:r>
      <w:r w:rsidRPr="00FF1016">
        <w:rPr>
          <w:szCs w:val="22"/>
        </w:rPr>
        <w:t xml:space="preserve"> slu</w:t>
      </w:r>
      <w:r w:rsidRPr="00FF1016">
        <w:rPr>
          <w:rFonts w:hint="eastAsia"/>
          <w:szCs w:val="22"/>
        </w:rPr>
        <w:t>ž</w:t>
      </w:r>
      <w:r w:rsidRPr="00FF1016">
        <w:rPr>
          <w:szCs w:val="22"/>
        </w:rPr>
        <w:t>by pro samostatn</w:t>
      </w:r>
      <w:r w:rsidRPr="00FF1016">
        <w:rPr>
          <w:rFonts w:hint="eastAsia"/>
          <w:szCs w:val="22"/>
        </w:rPr>
        <w:t>ě</w:t>
      </w:r>
      <w:r w:rsidRPr="00FF1016">
        <w:rPr>
          <w:szCs w:val="22"/>
        </w:rPr>
        <w:t xml:space="preserve"> bydl</w:t>
      </w:r>
      <w:r w:rsidRPr="00FF1016">
        <w:rPr>
          <w:rFonts w:hint="eastAsia"/>
          <w:szCs w:val="22"/>
        </w:rPr>
        <w:t>í</w:t>
      </w:r>
      <w:r w:rsidRPr="00FF1016">
        <w:rPr>
          <w:szCs w:val="22"/>
        </w:rPr>
        <w:t>c</w:t>
      </w:r>
      <w:r w:rsidRPr="00FF1016">
        <w:rPr>
          <w:rFonts w:hint="eastAsia"/>
          <w:szCs w:val="22"/>
        </w:rPr>
        <w:t>í</w:t>
      </w:r>
      <w:r w:rsidRPr="00FF1016">
        <w:rPr>
          <w:szCs w:val="22"/>
        </w:rPr>
        <w:t xml:space="preserve"> se sn</w:t>
      </w:r>
      <w:r w:rsidRPr="00FF1016">
        <w:rPr>
          <w:rFonts w:hint="eastAsia"/>
          <w:szCs w:val="22"/>
        </w:rPr>
        <w:t>íž</w:t>
      </w:r>
      <w:r w:rsidRPr="00FF1016">
        <w:rPr>
          <w:szCs w:val="22"/>
        </w:rPr>
        <w:t>en</w:t>
      </w:r>
      <w:r w:rsidRPr="00FF1016">
        <w:rPr>
          <w:rFonts w:hint="eastAsia"/>
          <w:szCs w:val="22"/>
        </w:rPr>
        <w:t>ý</w:t>
      </w:r>
      <w:r w:rsidRPr="00FF1016">
        <w:rPr>
          <w:szCs w:val="22"/>
        </w:rPr>
        <w:t>mi schopnostmi (fyzick</w:t>
      </w:r>
      <w:r w:rsidRPr="00FF1016">
        <w:rPr>
          <w:rFonts w:hint="eastAsia"/>
          <w:szCs w:val="22"/>
        </w:rPr>
        <w:t>ý</w:t>
      </w:r>
      <w:r w:rsidRPr="00FF1016">
        <w:rPr>
          <w:szCs w:val="22"/>
        </w:rPr>
        <w:t xml:space="preserve">mi </w:t>
      </w:r>
      <w:r w:rsidRPr="00FF1016">
        <w:rPr>
          <w:rFonts w:hint="eastAsia"/>
          <w:szCs w:val="22"/>
        </w:rPr>
        <w:t>č</w:t>
      </w:r>
      <w:r w:rsidRPr="00FF1016">
        <w:rPr>
          <w:szCs w:val="22"/>
        </w:rPr>
        <w:t>i du</w:t>
      </w:r>
      <w:r w:rsidRPr="00FF1016">
        <w:rPr>
          <w:rFonts w:hint="eastAsia"/>
          <w:szCs w:val="22"/>
        </w:rPr>
        <w:t>š</w:t>
      </w:r>
      <w:r w:rsidRPr="00FF1016">
        <w:rPr>
          <w:szCs w:val="22"/>
        </w:rPr>
        <w:t>evn</w:t>
      </w:r>
      <w:r w:rsidRPr="00FF1016">
        <w:rPr>
          <w:rFonts w:hint="eastAsia"/>
          <w:szCs w:val="22"/>
        </w:rPr>
        <w:t>í</w:t>
      </w:r>
      <w:r w:rsidRPr="00FF1016">
        <w:rPr>
          <w:szCs w:val="22"/>
        </w:rPr>
        <w:t>mi)</w:t>
      </w:r>
    </w:p>
    <w:p w:rsidR="009E2AAB" w:rsidRPr="00FF1016" w:rsidRDefault="009E2AAB" w:rsidP="00A60AC9">
      <w:pPr>
        <w:pStyle w:val="Odstavecseseznamem"/>
        <w:numPr>
          <w:ilvl w:val="1"/>
          <w:numId w:val="83"/>
        </w:numPr>
        <w:rPr>
          <w:szCs w:val="22"/>
        </w:rPr>
      </w:pPr>
      <w:r w:rsidRPr="00FF1016">
        <w:rPr>
          <w:szCs w:val="22"/>
        </w:rPr>
        <w:t>Osobn</w:t>
      </w:r>
      <w:r w:rsidRPr="00FF1016">
        <w:rPr>
          <w:rFonts w:hint="eastAsia"/>
          <w:szCs w:val="22"/>
        </w:rPr>
        <w:t>í</w:t>
      </w:r>
      <w:r w:rsidRPr="00FF1016">
        <w:rPr>
          <w:szCs w:val="22"/>
        </w:rPr>
        <w:t xml:space="preserve"> asistence </w:t>
      </w:r>
    </w:p>
    <w:p w:rsidR="009E2AAB" w:rsidRPr="00FF1016" w:rsidRDefault="009E2AAB" w:rsidP="00A60AC9">
      <w:pPr>
        <w:pStyle w:val="Odstavecseseznamem"/>
        <w:numPr>
          <w:ilvl w:val="1"/>
          <w:numId w:val="83"/>
        </w:numPr>
        <w:rPr>
          <w:szCs w:val="22"/>
        </w:rPr>
      </w:pPr>
      <w:r w:rsidRPr="00FF1016">
        <w:rPr>
          <w:szCs w:val="22"/>
        </w:rPr>
        <w:t>Odleh</w:t>
      </w:r>
      <w:r w:rsidRPr="00FF1016">
        <w:rPr>
          <w:rFonts w:hint="eastAsia"/>
          <w:szCs w:val="22"/>
        </w:rPr>
        <w:t>č</w:t>
      </w:r>
      <w:r w:rsidRPr="00FF1016">
        <w:rPr>
          <w:szCs w:val="22"/>
        </w:rPr>
        <w:t>ovac</w:t>
      </w:r>
      <w:r w:rsidRPr="00FF1016">
        <w:rPr>
          <w:rFonts w:hint="eastAsia"/>
          <w:szCs w:val="22"/>
        </w:rPr>
        <w:t>í</w:t>
      </w:r>
      <w:r w:rsidRPr="00FF1016">
        <w:rPr>
          <w:szCs w:val="22"/>
        </w:rPr>
        <w:t xml:space="preserve"> slu</w:t>
      </w:r>
      <w:r w:rsidRPr="00FF1016">
        <w:rPr>
          <w:rFonts w:hint="eastAsia"/>
          <w:szCs w:val="22"/>
        </w:rPr>
        <w:t>ž</w:t>
      </w:r>
      <w:r w:rsidRPr="00FF1016">
        <w:rPr>
          <w:szCs w:val="22"/>
        </w:rPr>
        <w:t xml:space="preserve">by </w:t>
      </w:r>
      <w:r w:rsidRPr="00FF1016">
        <w:rPr>
          <w:rFonts w:hint="eastAsia"/>
          <w:szCs w:val="22"/>
        </w:rPr>
        <w:t>–</w:t>
      </w:r>
      <w:r w:rsidRPr="00FF1016">
        <w:rPr>
          <w:szCs w:val="22"/>
        </w:rPr>
        <w:t xml:space="preserve"> ter</w:t>
      </w:r>
      <w:r w:rsidRPr="00FF1016">
        <w:rPr>
          <w:rFonts w:hint="eastAsia"/>
          <w:szCs w:val="22"/>
        </w:rPr>
        <w:t>é</w:t>
      </w:r>
      <w:r w:rsidRPr="00FF1016">
        <w:rPr>
          <w:szCs w:val="22"/>
        </w:rPr>
        <w:t>nn</w:t>
      </w:r>
      <w:r w:rsidRPr="00FF1016">
        <w:rPr>
          <w:rFonts w:hint="eastAsia"/>
          <w:szCs w:val="22"/>
        </w:rPr>
        <w:t>í</w:t>
      </w:r>
      <w:r w:rsidRPr="00FF1016">
        <w:rPr>
          <w:szCs w:val="22"/>
        </w:rPr>
        <w:t xml:space="preserve"> i pobytov</w:t>
      </w:r>
      <w:r w:rsidRPr="00FF1016">
        <w:rPr>
          <w:rFonts w:hint="eastAsia"/>
          <w:szCs w:val="22"/>
        </w:rPr>
        <w:t>á</w:t>
      </w:r>
      <w:r w:rsidRPr="00FF1016">
        <w:rPr>
          <w:szCs w:val="22"/>
        </w:rPr>
        <w:t xml:space="preserve"> forma</w:t>
      </w:r>
    </w:p>
    <w:p w:rsidR="009E2AAB" w:rsidRPr="00FF1016" w:rsidRDefault="009E2AAB" w:rsidP="009E2AAB">
      <w:pPr>
        <w:ind w:left="708"/>
        <w:rPr>
          <w:szCs w:val="22"/>
        </w:rPr>
      </w:pPr>
    </w:p>
    <w:p w:rsidR="009E2AAB" w:rsidRPr="00FF1016" w:rsidRDefault="009E2AAB" w:rsidP="00A60AC9">
      <w:pPr>
        <w:pStyle w:val="Odstavecseseznamem"/>
        <w:numPr>
          <w:ilvl w:val="0"/>
          <w:numId w:val="83"/>
        </w:numPr>
        <w:rPr>
          <w:szCs w:val="22"/>
        </w:rPr>
      </w:pPr>
      <w:r w:rsidRPr="00FF1016">
        <w:rPr>
          <w:szCs w:val="22"/>
        </w:rPr>
        <w:t xml:space="preserve">Programy a </w:t>
      </w:r>
      <w:r w:rsidRPr="00FF1016">
        <w:rPr>
          <w:rFonts w:hint="eastAsia"/>
          <w:szCs w:val="22"/>
        </w:rPr>
        <w:t>č</w:t>
      </w:r>
      <w:r w:rsidRPr="00FF1016">
        <w:rPr>
          <w:szCs w:val="22"/>
        </w:rPr>
        <w:t>innosti v r</w:t>
      </w:r>
      <w:r w:rsidRPr="00FF1016">
        <w:rPr>
          <w:rFonts w:hint="eastAsia"/>
          <w:szCs w:val="22"/>
        </w:rPr>
        <w:t>á</w:t>
      </w:r>
      <w:r w:rsidRPr="00FF1016">
        <w:rPr>
          <w:szCs w:val="22"/>
        </w:rPr>
        <w:t>mci soc. za</w:t>
      </w:r>
      <w:r w:rsidRPr="00FF1016">
        <w:rPr>
          <w:rFonts w:hint="eastAsia"/>
          <w:szCs w:val="22"/>
        </w:rPr>
        <w:t>č</w:t>
      </w:r>
      <w:r w:rsidRPr="00FF1016">
        <w:rPr>
          <w:szCs w:val="22"/>
        </w:rPr>
        <w:t>le</w:t>
      </w:r>
      <w:r w:rsidRPr="00FF1016">
        <w:rPr>
          <w:rFonts w:hint="eastAsia"/>
          <w:szCs w:val="22"/>
        </w:rPr>
        <w:t>ň</w:t>
      </w:r>
      <w:r w:rsidRPr="00FF1016">
        <w:rPr>
          <w:szCs w:val="22"/>
        </w:rPr>
        <w:t>ov</w:t>
      </w:r>
      <w:r w:rsidRPr="00FF1016">
        <w:rPr>
          <w:rFonts w:hint="eastAsia"/>
          <w:szCs w:val="22"/>
        </w:rPr>
        <w:t>á</w:t>
      </w:r>
      <w:r w:rsidRPr="00FF1016">
        <w:rPr>
          <w:szCs w:val="22"/>
        </w:rPr>
        <w:t>n</w:t>
      </w:r>
      <w:r w:rsidRPr="00FF1016">
        <w:rPr>
          <w:rFonts w:hint="eastAsia"/>
          <w:szCs w:val="22"/>
        </w:rPr>
        <w:t>í</w:t>
      </w:r>
      <w:r w:rsidRPr="00FF1016">
        <w:rPr>
          <w:szCs w:val="22"/>
        </w:rPr>
        <w:t xml:space="preserve"> nad r</w:t>
      </w:r>
      <w:r w:rsidRPr="00FF1016">
        <w:rPr>
          <w:rFonts w:hint="eastAsia"/>
          <w:szCs w:val="22"/>
        </w:rPr>
        <w:t>á</w:t>
      </w:r>
      <w:r w:rsidRPr="00FF1016">
        <w:rPr>
          <w:szCs w:val="22"/>
        </w:rPr>
        <w:t>mec/mimo re</w:t>
      </w:r>
      <w:r w:rsidRPr="00FF1016">
        <w:rPr>
          <w:rFonts w:hint="eastAsia"/>
          <w:szCs w:val="22"/>
        </w:rPr>
        <w:t>ž</w:t>
      </w:r>
      <w:r w:rsidRPr="00FF1016">
        <w:rPr>
          <w:szCs w:val="22"/>
        </w:rPr>
        <w:t>im z</w:t>
      </w:r>
      <w:r w:rsidRPr="00FF1016">
        <w:rPr>
          <w:rFonts w:hint="eastAsia"/>
          <w:szCs w:val="22"/>
        </w:rPr>
        <w:t>á</w:t>
      </w:r>
      <w:r w:rsidRPr="00FF1016">
        <w:rPr>
          <w:szCs w:val="22"/>
        </w:rPr>
        <w:t xml:space="preserve">kona </w:t>
      </w:r>
      <w:r w:rsidRPr="00FF1016">
        <w:rPr>
          <w:rFonts w:hint="eastAsia"/>
          <w:szCs w:val="22"/>
        </w:rPr>
        <w:t>č</w:t>
      </w:r>
      <w:r w:rsidRPr="00FF1016">
        <w:rPr>
          <w:szCs w:val="22"/>
        </w:rPr>
        <w:t>. 108/2006 Sb.</w:t>
      </w:r>
    </w:p>
    <w:p w:rsidR="009E2AAB" w:rsidRPr="00FF1016" w:rsidRDefault="009E2AAB" w:rsidP="00A60AC9">
      <w:pPr>
        <w:pStyle w:val="Odstavecseseznamem"/>
        <w:numPr>
          <w:ilvl w:val="1"/>
          <w:numId w:val="83"/>
        </w:numPr>
        <w:rPr>
          <w:szCs w:val="22"/>
        </w:rPr>
      </w:pPr>
      <w:r w:rsidRPr="00FF1016">
        <w:rPr>
          <w:szCs w:val="22"/>
        </w:rPr>
        <w:t>Podpora  mlad</w:t>
      </w:r>
      <w:r w:rsidRPr="00FF1016">
        <w:rPr>
          <w:rFonts w:hint="eastAsia"/>
          <w:szCs w:val="22"/>
        </w:rPr>
        <w:t>ý</w:t>
      </w:r>
      <w:r w:rsidRPr="00FF1016">
        <w:rPr>
          <w:szCs w:val="22"/>
        </w:rPr>
        <w:t>m  lidem  ze  soci</w:t>
      </w:r>
      <w:r w:rsidRPr="00FF1016">
        <w:rPr>
          <w:rFonts w:hint="eastAsia"/>
          <w:szCs w:val="22"/>
        </w:rPr>
        <w:t>á</w:t>
      </w:r>
      <w:r w:rsidRPr="00FF1016">
        <w:rPr>
          <w:szCs w:val="22"/>
        </w:rPr>
        <w:t>ln</w:t>
      </w:r>
      <w:r w:rsidRPr="00FF1016">
        <w:rPr>
          <w:rFonts w:hint="eastAsia"/>
          <w:szCs w:val="22"/>
        </w:rPr>
        <w:t>ě</w:t>
      </w:r>
      <w:r w:rsidRPr="00FF1016">
        <w:rPr>
          <w:szCs w:val="22"/>
        </w:rPr>
        <w:t xml:space="preserve">  znev</w:t>
      </w:r>
      <w:r w:rsidRPr="00FF1016">
        <w:rPr>
          <w:rFonts w:hint="eastAsia"/>
          <w:szCs w:val="22"/>
        </w:rPr>
        <w:t>ý</w:t>
      </w:r>
      <w:r w:rsidRPr="00FF1016">
        <w:rPr>
          <w:szCs w:val="22"/>
        </w:rPr>
        <w:t>hodn</w:t>
      </w:r>
      <w:r w:rsidRPr="00FF1016">
        <w:rPr>
          <w:rFonts w:hint="eastAsia"/>
          <w:szCs w:val="22"/>
        </w:rPr>
        <w:t>ě</w:t>
      </w:r>
      <w:r w:rsidRPr="00FF1016">
        <w:rPr>
          <w:szCs w:val="22"/>
        </w:rPr>
        <w:t>n</w:t>
      </w:r>
      <w:r w:rsidRPr="00FF1016">
        <w:rPr>
          <w:rFonts w:hint="eastAsia"/>
          <w:szCs w:val="22"/>
        </w:rPr>
        <w:t>é</w:t>
      </w:r>
      <w:r w:rsidRPr="00FF1016">
        <w:rPr>
          <w:szCs w:val="22"/>
        </w:rPr>
        <w:t>ho  prost</w:t>
      </w:r>
      <w:r w:rsidRPr="00FF1016">
        <w:rPr>
          <w:rFonts w:hint="eastAsia"/>
          <w:szCs w:val="22"/>
        </w:rPr>
        <w:t>ř</w:t>
      </w:r>
      <w:r w:rsidRPr="00FF1016">
        <w:rPr>
          <w:szCs w:val="22"/>
        </w:rPr>
        <w:t>ed</w:t>
      </w:r>
      <w:r w:rsidRPr="00FF1016">
        <w:rPr>
          <w:rFonts w:hint="eastAsia"/>
          <w:szCs w:val="22"/>
        </w:rPr>
        <w:t>í</w:t>
      </w:r>
      <w:r w:rsidRPr="00FF1016">
        <w:rPr>
          <w:szCs w:val="22"/>
        </w:rPr>
        <w:t xml:space="preserve"> </w:t>
      </w:r>
      <w:r w:rsidRPr="00FF1016">
        <w:rPr>
          <w:rFonts w:hint="eastAsia"/>
          <w:szCs w:val="22"/>
        </w:rPr>
        <w:t>–</w:t>
      </w:r>
      <w:r w:rsidRPr="00FF1016">
        <w:rPr>
          <w:szCs w:val="22"/>
        </w:rPr>
        <w:t xml:space="preserve"> nepobytov</w:t>
      </w:r>
      <w:r w:rsidRPr="00FF1016">
        <w:rPr>
          <w:rFonts w:hint="eastAsia"/>
          <w:szCs w:val="22"/>
        </w:rPr>
        <w:t>é</w:t>
      </w:r>
      <w:r w:rsidRPr="00FF1016">
        <w:rPr>
          <w:szCs w:val="22"/>
        </w:rPr>
        <w:t xml:space="preserve"> slu</w:t>
      </w:r>
      <w:r w:rsidRPr="00FF1016">
        <w:rPr>
          <w:rFonts w:hint="eastAsia"/>
          <w:szCs w:val="22"/>
        </w:rPr>
        <w:t>ž</w:t>
      </w:r>
      <w:r w:rsidRPr="00FF1016">
        <w:rPr>
          <w:szCs w:val="22"/>
        </w:rPr>
        <w:t>by</w:t>
      </w:r>
    </w:p>
    <w:p w:rsidR="009E2AAB" w:rsidRPr="00FF1016" w:rsidRDefault="009E2AAB" w:rsidP="00A60AC9">
      <w:pPr>
        <w:pStyle w:val="Odstavecseseznamem"/>
        <w:numPr>
          <w:ilvl w:val="1"/>
          <w:numId w:val="83"/>
        </w:numPr>
        <w:rPr>
          <w:szCs w:val="22"/>
        </w:rPr>
      </w:pPr>
      <w:r w:rsidRPr="00FF1016">
        <w:rPr>
          <w:szCs w:val="22"/>
        </w:rPr>
        <w:t>Programy pro osoby s alternativn</w:t>
      </w:r>
      <w:r w:rsidRPr="00FF1016">
        <w:rPr>
          <w:rFonts w:hint="eastAsia"/>
          <w:szCs w:val="22"/>
        </w:rPr>
        <w:t>í</w:t>
      </w:r>
      <w:r w:rsidRPr="00FF1016">
        <w:rPr>
          <w:szCs w:val="22"/>
        </w:rPr>
        <w:t>mi tresty a po v</w:t>
      </w:r>
      <w:r w:rsidRPr="00FF1016">
        <w:rPr>
          <w:rFonts w:hint="eastAsia"/>
          <w:szCs w:val="22"/>
        </w:rPr>
        <w:t>ý</w:t>
      </w:r>
      <w:r w:rsidRPr="00FF1016">
        <w:rPr>
          <w:szCs w:val="22"/>
        </w:rPr>
        <w:t>konu trestu odn</w:t>
      </w:r>
      <w:r w:rsidRPr="00FF1016">
        <w:rPr>
          <w:rFonts w:hint="eastAsia"/>
          <w:szCs w:val="22"/>
        </w:rPr>
        <w:t>ě</w:t>
      </w:r>
      <w:r w:rsidRPr="00FF1016">
        <w:rPr>
          <w:szCs w:val="22"/>
        </w:rPr>
        <w:t>t</w:t>
      </w:r>
      <w:r w:rsidRPr="00FF1016">
        <w:rPr>
          <w:rFonts w:hint="eastAsia"/>
          <w:szCs w:val="22"/>
        </w:rPr>
        <w:t>í</w:t>
      </w:r>
      <w:r w:rsidRPr="00FF1016">
        <w:rPr>
          <w:szCs w:val="22"/>
        </w:rPr>
        <w:t xml:space="preserve"> svobody</w:t>
      </w:r>
    </w:p>
    <w:p w:rsidR="009E2AAB" w:rsidRPr="00FF1016" w:rsidRDefault="009E2AAB" w:rsidP="00A60AC9">
      <w:pPr>
        <w:pStyle w:val="Odstavecseseznamem"/>
        <w:numPr>
          <w:ilvl w:val="1"/>
          <w:numId w:val="83"/>
        </w:numPr>
        <w:rPr>
          <w:szCs w:val="22"/>
        </w:rPr>
      </w:pPr>
      <w:r w:rsidRPr="00FF1016">
        <w:rPr>
          <w:szCs w:val="22"/>
        </w:rPr>
        <w:t>Aktiviza</w:t>
      </w:r>
      <w:r w:rsidRPr="00FF1016">
        <w:rPr>
          <w:rFonts w:hint="eastAsia"/>
          <w:szCs w:val="22"/>
        </w:rPr>
        <w:t>č</w:t>
      </w:r>
      <w:r w:rsidRPr="00FF1016">
        <w:rPr>
          <w:szCs w:val="22"/>
        </w:rPr>
        <w:t>n</w:t>
      </w:r>
      <w:r w:rsidRPr="00FF1016">
        <w:rPr>
          <w:rFonts w:hint="eastAsia"/>
          <w:szCs w:val="22"/>
        </w:rPr>
        <w:t>í</w:t>
      </w:r>
      <w:r w:rsidRPr="00FF1016">
        <w:rPr>
          <w:szCs w:val="22"/>
        </w:rPr>
        <w:t>,  asisten</w:t>
      </w:r>
      <w:r w:rsidRPr="00FF1016">
        <w:rPr>
          <w:rFonts w:hint="eastAsia"/>
          <w:szCs w:val="22"/>
        </w:rPr>
        <w:t>č</w:t>
      </w:r>
      <w:r w:rsidRPr="00FF1016">
        <w:rPr>
          <w:szCs w:val="22"/>
        </w:rPr>
        <w:t>n</w:t>
      </w:r>
      <w:r w:rsidRPr="00FF1016">
        <w:rPr>
          <w:rFonts w:hint="eastAsia"/>
          <w:szCs w:val="22"/>
        </w:rPr>
        <w:t>í</w:t>
      </w:r>
      <w:r w:rsidRPr="00FF1016">
        <w:rPr>
          <w:szCs w:val="22"/>
        </w:rPr>
        <w:t xml:space="preserve">  a  motiva</w:t>
      </w:r>
      <w:r w:rsidRPr="00FF1016">
        <w:rPr>
          <w:rFonts w:hint="eastAsia"/>
          <w:szCs w:val="22"/>
        </w:rPr>
        <w:t>č</w:t>
      </w:r>
      <w:r w:rsidRPr="00FF1016">
        <w:rPr>
          <w:szCs w:val="22"/>
        </w:rPr>
        <w:t>n</w:t>
      </w:r>
      <w:r w:rsidRPr="00FF1016">
        <w:rPr>
          <w:rFonts w:hint="eastAsia"/>
          <w:szCs w:val="22"/>
        </w:rPr>
        <w:t>í</w:t>
      </w:r>
      <w:r w:rsidRPr="00FF1016">
        <w:rPr>
          <w:szCs w:val="22"/>
        </w:rPr>
        <w:t xml:space="preserve">  programy </w:t>
      </w:r>
      <w:r w:rsidRPr="00FF1016">
        <w:rPr>
          <w:rFonts w:hint="eastAsia"/>
          <w:szCs w:val="22"/>
        </w:rPr>
        <w:t>–</w:t>
      </w:r>
      <w:r w:rsidRPr="00FF1016">
        <w:rPr>
          <w:szCs w:val="22"/>
        </w:rPr>
        <w:t xml:space="preserve"> z</w:t>
      </w:r>
      <w:r w:rsidRPr="00FF1016">
        <w:rPr>
          <w:rFonts w:hint="eastAsia"/>
          <w:szCs w:val="22"/>
        </w:rPr>
        <w:t>í</w:t>
      </w:r>
      <w:r w:rsidRPr="00FF1016">
        <w:rPr>
          <w:szCs w:val="22"/>
        </w:rPr>
        <w:t>sk</w:t>
      </w:r>
      <w:r w:rsidRPr="00FF1016">
        <w:rPr>
          <w:rFonts w:hint="eastAsia"/>
          <w:szCs w:val="22"/>
        </w:rPr>
        <w:t>á</w:t>
      </w:r>
      <w:r w:rsidRPr="00FF1016">
        <w:rPr>
          <w:szCs w:val="22"/>
        </w:rPr>
        <w:t>v</w:t>
      </w:r>
      <w:r w:rsidRPr="00FF1016">
        <w:rPr>
          <w:rFonts w:hint="eastAsia"/>
          <w:szCs w:val="22"/>
        </w:rPr>
        <w:t>á</w:t>
      </w:r>
      <w:r w:rsidRPr="00FF1016">
        <w:rPr>
          <w:szCs w:val="22"/>
        </w:rPr>
        <w:t>n</w:t>
      </w:r>
      <w:r w:rsidRPr="00FF1016">
        <w:rPr>
          <w:rFonts w:hint="eastAsia"/>
          <w:szCs w:val="22"/>
        </w:rPr>
        <w:t>í</w:t>
      </w:r>
      <w:r w:rsidRPr="00FF1016">
        <w:rPr>
          <w:szCs w:val="22"/>
        </w:rPr>
        <w:t xml:space="preserve"> z</w:t>
      </w:r>
      <w:r w:rsidRPr="00FF1016">
        <w:rPr>
          <w:rFonts w:hint="eastAsia"/>
          <w:szCs w:val="22"/>
        </w:rPr>
        <w:t>á</w:t>
      </w:r>
      <w:r w:rsidRPr="00FF1016">
        <w:rPr>
          <w:szCs w:val="22"/>
        </w:rPr>
        <w:t>kladn</w:t>
      </w:r>
      <w:r w:rsidRPr="00FF1016">
        <w:rPr>
          <w:rFonts w:hint="eastAsia"/>
          <w:szCs w:val="22"/>
        </w:rPr>
        <w:t>í</w:t>
      </w:r>
      <w:r w:rsidRPr="00FF1016">
        <w:rPr>
          <w:szCs w:val="22"/>
        </w:rPr>
        <w:t>ch soci</w:t>
      </w:r>
      <w:r w:rsidRPr="00FF1016">
        <w:rPr>
          <w:rFonts w:hint="eastAsia"/>
          <w:szCs w:val="22"/>
        </w:rPr>
        <w:t>á</w:t>
      </w:r>
      <w:r w:rsidRPr="00FF1016">
        <w:rPr>
          <w:szCs w:val="22"/>
        </w:rPr>
        <w:t>ln</w:t>
      </w:r>
      <w:r w:rsidRPr="00FF1016">
        <w:rPr>
          <w:rFonts w:hint="eastAsia"/>
          <w:szCs w:val="22"/>
        </w:rPr>
        <w:t>í</w:t>
      </w:r>
      <w:r w:rsidRPr="00FF1016">
        <w:rPr>
          <w:szCs w:val="22"/>
        </w:rPr>
        <w:t>ch a profesn</w:t>
      </w:r>
      <w:r w:rsidRPr="00FF1016">
        <w:rPr>
          <w:rFonts w:hint="eastAsia"/>
          <w:szCs w:val="22"/>
        </w:rPr>
        <w:t>í</w:t>
      </w:r>
      <w:r w:rsidRPr="00FF1016">
        <w:rPr>
          <w:szCs w:val="22"/>
        </w:rPr>
        <w:t>ch n</w:t>
      </w:r>
      <w:r w:rsidRPr="00FF1016">
        <w:rPr>
          <w:rFonts w:hint="eastAsia"/>
          <w:szCs w:val="22"/>
        </w:rPr>
        <w:t>á</w:t>
      </w:r>
      <w:r w:rsidRPr="00FF1016">
        <w:rPr>
          <w:szCs w:val="22"/>
        </w:rPr>
        <w:t>vyk</w:t>
      </w:r>
      <w:r w:rsidRPr="00FF1016">
        <w:rPr>
          <w:rFonts w:hint="eastAsia"/>
          <w:szCs w:val="22"/>
        </w:rPr>
        <w:t>ů</w:t>
      </w:r>
    </w:p>
    <w:p w:rsidR="009E2AAB" w:rsidRPr="00FF1016" w:rsidRDefault="009E2AAB" w:rsidP="00A60AC9">
      <w:pPr>
        <w:pStyle w:val="Odstavecseseznamem"/>
        <w:numPr>
          <w:ilvl w:val="1"/>
          <w:numId w:val="83"/>
        </w:numPr>
        <w:rPr>
          <w:szCs w:val="22"/>
        </w:rPr>
      </w:pPr>
      <w:r w:rsidRPr="00FF1016">
        <w:rPr>
          <w:szCs w:val="22"/>
        </w:rPr>
        <w:t>P</w:t>
      </w:r>
      <w:r w:rsidRPr="00FF1016">
        <w:rPr>
          <w:rFonts w:hint="eastAsia"/>
          <w:szCs w:val="22"/>
        </w:rPr>
        <w:t>ř</w:t>
      </w:r>
      <w:r w:rsidRPr="00FF1016">
        <w:rPr>
          <w:szCs w:val="22"/>
        </w:rPr>
        <w:t>edch</w:t>
      </w:r>
      <w:r w:rsidRPr="00FF1016">
        <w:rPr>
          <w:rFonts w:hint="eastAsia"/>
          <w:szCs w:val="22"/>
        </w:rPr>
        <w:t>á</w:t>
      </w:r>
      <w:r w:rsidRPr="00FF1016">
        <w:rPr>
          <w:szCs w:val="22"/>
        </w:rPr>
        <w:t>zen</w:t>
      </w:r>
      <w:r w:rsidRPr="00FF1016">
        <w:rPr>
          <w:rFonts w:hint="eastAsia"/>
          <w:szCs w:val="22"/>
        </w:rPr>
        <w:t>í</w:t>
      </w:r>
      <w:r w:rsidRPr="00FF1016">
        <w:rPr>
          <w:szCs w:val="22"/>
        </w:rPr>
        <w:t xml:space="preserve"> ekonomick</w:t>
      </w:r>
      <w:r w:rsidRPr="00FF1016">
        <w:rPr>
          <w:rFonts w:hint="eastAsia"/>
          <w:szCs w:val="22"/>
        </w:rPr>
        <w:t>é</w:t>
      </w:r>
      <w:r w:rsidRPr="00FF1016">
        <w:rPr>
          <w:szCs w:val="22"/>
        </w:rPr>
        <w:t xml:space="preserve"> nestability osob z c</w:t>
      </w:r>
      <w:r w:rsidRPr="00FF1016">
        <w:rPr>
          <w:rFonts w:hint="eastAsia"/>
          <w:szCs w:val="22"/>
        </w:rPr>
        <w:t>í</w:t>
      </w:r>
      <w:r w:rsidRPr="00FF1016">
        <w:rPr>
          <w:szCs w:val="22"/>
        </w:rPr>
        <w:t>lov</w:t>
      </w:r>
      <w:r w:rsidRPr="00FF1016">
        <w:rPr>
          <w:rFonts w:hint="eastAsia"/>
          <w:szCs w:val="22"/>
        </w:rPr>
        <w:t>ý</w:t>
      </w:r>
      <w:r w:rsidRPr="00FF1016">
        <w:rPr>
          <w:szCs w:val="22"/>
        </w:rPr>
        <w:t xml:space="preserve">ch skupin </w:t>
      </w:r>
      <w:r w:rsidRPr="00FF1016">
        <w:rPr>
          <w:rFonts w:hint="eastAsia"/>
          <w:szCs w:val="22"/>
        </w:rPr>
        <w:t>–</w:t>
      </w:r>
      <w:r w:rsidRPr="00FF1016">
        <w:rPr>
          <w:szCs w:val="22"/>
        </w:rPr>
        <w:t xml:space="preserve"> finan</w:t>
      </w:r>
      <w:r w:rsidRPr="00FF1016">
        <w:rPr>
          <w:rFonts w:hint="eastAsia"/>
          <w:szCs w:val="22"/>
        </w:rPr>
        <w:t>č</w:t>
      </w:r>
      <w:r w:rsidRPr="00FF1016">
        <w:rPr>
          <w:szCs w:val="22"/>
        </w:rPr>
        <w:t>n</w:t>
      </w:r>
      <w:r w:rsidRPr="00FF1016">
        <w:rPr>
          <w:rFonts w:hint="eastAsia"/>
          <w:szCs w:val="22"/>
        </w:rPr>
        <w:t>í</w:t>
      </w:r>
      <w:r w:rsidRPr="00FF1016">
        <w:rPr>
          <w:szCs w:val="22"/>
        </w:rPr>
        <w:t xml:space="preserve"> gramotnost...</w:t>
      </w:r>
    </w:p>
    <w:p w:rsidR="009E2AAB" w:rsidRPr="00FF1016" w:rsidRDefault="009E2AAB" w:rsidP="00A60AC9">
      <w:pPr>
        <w:pStyle w:val="Odstavecseseznamem"/>
        <w:numPr>
          <w:ilvl w:val="1"/>
          <w:numId w:val="83"/>
        </w:numPr>
        <w:rPr>
          <w:szCs w:val="22"/>
        </w:rPr>
      </w:pPr>
      <w:r w:rsidRPr="00FF1016">
        <w:rPr>
          <w:szCs w:val="22"/>
        </w:rPr>
        <w:t>Mimosoudn</w:t>
      </w:r>
      <w:r w:rsidRPr="00FF1016">
        <w:rPr>
          <w:rFonts w:hint="eastAsia"/>
          <w:szCs w:val="22"/>
        </w:rPr>
        <w:t>í</w:t>
      </w:r>
      <w:r w:rsidRPr="00FF1016">
        <w:rPr>
          <w:szCs w:val="22"/>
        </w:rPr>
        <w:t xml:space="preserve">  zp</w:t>
      </w:r>
      <w:r w:rsidRPr="00FF1016">
        <w:rPr>
          <w:rFonts w:hint="eastAsia"/>
          <w:szCs w:val="22"/>
        </w:rPr>
        <w:t>ů</w:t>
      </w:r>
      <w:r w:rsidRPr="00FF1016">
        <w:rPr>
          <w:szCs w:val="22"/>
        </w:rPr>
        <w:t xml:space="preserve">sob  </w:t>
      </w:r>
      <w:r w:rsidRPr="00FF1016">
        <w:rPr>
          <w:rFonts w:hint="eastAsia"/>
          <w:szCs w:val="22"/>
        </w:rPr>
        <w:t>ř</w:t>
      </w:r>
      <w:r w:rsidRPr="00FF1016">
        <w:rPr>
          <w:szCs w:val="22"/>
        </w:rPr>
        <w:t>e</w:t>
      </w:r>
      <w:r w:rsidRPr="00FF1016">
        <w:rPr>
          <w:rFonts w:hint="eastAsia"/>
          <w:szCs w:val="22"/>
        </w:rPr>
        <w:t>š</w:t>
      </w:r>
      <w:r w:rsidRPr="00FF1016">
        <w:rPr>
          <w:szCs w:val="22"/>
        </w:rPr>
        <w:t>en</w:t>
      </w:r>
      <w:r w:rsidRPr="00FF1016">
        <w:rPr>
          <w:rFonts w:hint="eastAsia"/>
          <w:szCs w:val="22"/>
        </w:rPr>
        <w:t>í</w:t>
      </w:r>
      <w:r w:rsidRPr="00FF1016">
        <w:rPr>
          <w:szCs w:val="22"/>
        </w:rPr>
        <w:t xml:space="preserve">  konflikt</w:t>
      </w:r>
      <w:r w:rsidRPr="00FF1016">
        <w:rPr>
          <w:rFonts w:hint="eastAsia"/>
          <w:szCs w:val="22"/>
        </w:rPr>
        <w:t>ů</w:t>
      </w:r>
      <w:r w:rsidRPr="00FF1016">
        <w:rPr>
          <w:szCs w:val="22"/>
        </w:rPr>
        <w:t xml:space="preserve"> - mediace, pr</w:t>
      </w:r>
      <w:r w:rsidRPr="00FF1016">
        <w:rPr>
          <w:rFonts w:hint="eastAsia"/>
          <w:szCs w:val="22"/>
        </w:rPr>
        <w:t>á</w:t>
      </w:r>
      <w:r w:rsidRPr="00FF1016">
        <w:rPr>
          <w:szCs w:val="22"/>
        </w:rPr>
        <w:t>vn</w:t>
      </w:r>
      <w:r w:rsidRPr="00FF1016">
        <w:rPr>
          <w:rFonts w:hint="eastAsia"/>
          <w:szCs w:val="22"/>
        </w:rPr>
        <w:t>í</w:t>
      </w:r>
      <w:r w:rsidRPr="00FF1016">
        <w:rPr>
          <w:szCs w:val="22"/>
        </w:rPr>
        <w:t xml:space="preserve"> slu</w:t>
      </w:r>
      <w:r w:rsidRPr="00FF1016">
        <w:rPr>
          <w:rFonts w:hint="eastAsia"/>
          <w:szCs w:val="22"/>
        </w:rPr>
        <w:t>ž</w:t>
      </w:r>
      <w:r w:rsidRPr="00FF1016">
        <w:rPr>
          <w:szCs w:val="22"/>
        </w:rPr>
        <w:t>by (bydlen</w:t>
      </w:r>
      <w:r w:rsidRPr="00FF1016">
        <w:rPr>
          <w:rFonts w:hint="eastAsia"/>
          <w:szCs w:val="22"/>
        </w:rPr>
        <w:t>í</w:t>
      </w:r>
      <w:r w:rsidRPr="00FF1016">
        <w:rPr>
          <w:szCs w:val="22"/>
        </w:rPr>
        <w:t>, pr</w:t>
      </w:r>
      <w:r w:rsidRPr="00FF1016">
        <w:rPr>
          <w:rFonts w:hint="eastAsia"/>
          <w:szCs w:val="22"/>
        </w:rPr>
        <w:t>á</w:t>
      </w:r>
      <w:r w:rsidRPr="00FF1016">
        <w:rPr>
          <w:szCs w:val="22"/>
        </w:rPr>
        <w:t>ce</w:t>
      </w:r>
      <w:r w:rsidRPr="00FF1016">
        <w:rPr>
          <w:rFonts w:hint="eastAsia"/>
          <w:szCs w:val="22"/>
        </w:rPr>
        <w:t>…</w:t>
      </w:r>
      <w:r w:rsidRPr="00FF1016">
        <w:rPr>
          <w:szCs w:val="22"/>
        </w:rPr>
        <w:t>)</w:t>
      </w:r>
    </w:p>
    <w:p w:rsidR="009E2AAB" w:rsidRPr="00FF1016" w:rsidRDefault="009E2AAB" w:rsidP="00A60AC9">
      <w:pPr>
        <w:pStyle w:val="Odstavecseseznamem"/>
        <w:numPr>
          <w:ilvl w:val="1"/>
          <w:numId w:val="83"/>
        </w:numPr>
        <w:rPr>
          <w:szCs w:val="22"/>
        </w:rPr>
      </w:pPr>
      <w:r w:rsidRPr="00FF1016">
        <w:rPr>
          <w:szCs w:val="22"/>
        </w:rPr>
        <w:lastRenderedPageBreak/>
        <w:t>Neform</w:t>
      </w:r>
      <w:r w:rsidRPr="00FF1016">
        <w:rPr>
          <w:rFonts w:hint="eastAsia"/>
          <w:szCs w:val="22"/>
        </w:rPr>
        <w:t>á</w:t>
      </w:r>
      <w:r w:rsidRPr="00FF1016">
        <w:rPr>
          <w:szCs w:val="22"/>
        </w:rPr>
        <w:t>ln</w:t>
      </w:r>
      <w:r w:rsidRPr="00FF1016">
        <w:rPr>
          <w:rFonts w:hint="eastAsia"/>
          <w:szCs w:val="22"/>
        </w:rPr>
        <w:t>í</w:t>
      </w:r>
      <w:r w:rsidRPr="00FF1016">
        <w:rPr>
          <w:szCs w:val="22"/>
        </w:rPr>
        <w:t xml:space="preserve"> a sd</w:t>
      </w:r>
      <w:r w:rsidRPr="00FF1016">
        <w:rPr>
          <w:rFonts w:hint="eastAsia"/>
          <w:szCs w:val="22"/>
        </w:rPr>
        <w:t>í</w:t>
      </w:r>
      <w:r w:rsidRPr="00FF1016">
        <w:rPr>
          <w:szCs w:val="22"/>
        </w:rPr>
        <w:t>len</w:t>
      </w:r>
      <w:r w:rsidRPr="00FF1016">
        <w:rPr>
          <w:rFonts w:hint="eastAsia"/>
          <w:szCs w:val="22"/>
        </w:rPr>
        <w:t>á</w:t>
      </w:r>
      <w:r w:rsidRPr="00FF1016">
        <w:rPr>
          <w:szCs w:val="22"/>
        </w:rPr>
        <w:t xml:space="preserve"> p</w:t>
      </w:r>
      <w:r w:rsidRPr="00FF1016">
        <w:rPr>
          <w:rFonts w:hint="eastAsia"/>
          <w:szCs w:val="22"/>
        </w:rPr>
        <w:t>éč</w:t>
      </w:r>
      <w:r w:rsidRPr="00FF1016">
        <w:rPr>
          <w:szCs w:val="22"/>
        </w:rPr>
        <w:t xml:space="preserve">e </w:t>
      </w:r>
      <w:r w:rsidRPr="00FF1016">
        <w:rPr>
          <w:rFonts w:hint="eastAsia"/>
          <w:szCs w:val="22"/>
        </w:rPr>
        <w:t>–</w:t>
      </w:r>
      <w:r w:rsidRPr="00FF1016">
        <w:rPr>
          <w:szCs w:val="22"/>
        </w:rPr>
        <w:t xml:space="preserve"> v rodin</w:t>
      </w:r>
      <w:r w:rsidRPr="00FF1016">
        <w:rPr>
          <w:rFonts w:hint="eastAsia"/>
          <w:szCs w:val="22"/>
        </w:rPr>
        <w:t>ě</w:t>
      </w:r>
      <w:r w:rsidRPr="00FF1016">
        <w:rPr>
          <w:szCs w:val="22"/>
        </w:rPr>
        <w:t xml:space="preserve"> </w:t>
      </w:r>
      <w:r w:rsidRPr="00FF1016">
        <w:rPr>
          <w:rFonts w:hint="eastAsia"/>
          <w:szCs w:val="22"/>
        </w:rPr>
        <w:t>č</w:t>
      </w:r>
      <w:r w:rsidRPr="00FF1016">
        <w:rPr>
          <w:szCs w:val="22"/>
        </w:rPr>
        <w:t>i komunit</w:t>
      </w:r>
      <w:r w:rsidRPr="00FF1016">
        <w:rPr>
          <w:rFonts w:hint="eastAsia"/>
          <w:szCs w:val="22"/>
        </w:rPr>
        <w:t>ě</w:t>
      </w:r>
    </w:p>
    <w:p w:rsidR="009E2AAB" w:rsidRPr="00FF1016" w:rsidRDefault="009E2AAB" w:rsidP="00A60AC9">
      <w:pPr>
        <w:pStyle w:val="Odstavecseseznamem"/>
        <w:numPr>
          <w:ilvl w:val="1"/>
          <w:numId w:val="83"/>
        </w:numPr>
        <w:rPr>
          <w:szCs w:val="22"/>
        </w:rPr>
      </w:pPr>
      <w:r w:rsidRPr="00FF1016">
        <w:rPr>
          <w:szCs w:val="22"/>
        </w:rPr>
        <w:t>Aktivity  m</w:t>
      </w:r>
      <w:r w:rsidRPr="00FF1016">
        <w:rPr>
          <w:rFonts w:hint="eastAsia"/>
          <w:szCs w:val="22"/>
        </w:rPr>
        <w:t>í</w:t>
      </w:r>
      <w:r w:rsidRPr="00FF1016">
        <w:rPr>
          <w:szCs w:val="22"/>
        </w:rPr>
        <w:t>stn</w:t>
      </w:r>
      <w:r w:rsidRPr="00FF1016">
        <w:rPr>
          <w:rFonts w:hint="eastAsia"/>
          <w:szCs w:val="22"/>
        </w:rPr>
        <w:t>í</w:t>
      </w:r>
      <w:r w:rsidRPr="00FF1016">
        <w:rPr>
          <w:szCs w:val="22"/>
        </w:rPr>
        <w:t>ch  samospr</w:t>
      </w:r>
      <w:r w:rsidRPr="00FF1016">
        <w:rPr>
          <w:rFonts w:hint="eastAsia"/>
          <w:szCs w:val="22"/>
        </w:rPr>
        <w:t>á</w:t>
      </w:r>
      <w:r w:rsidRPr="00FF1016">
        <w:rPr>
          <w:szCs w:val="22"/>
        </w:rPr>
        <w:t xml:space="preserve">v </w:t>
      </w:r>
      <w:r w:rsidRPr="00FF1016">
        <w:rPr>
          <w:rFonts w:hint="eastAsia"/>
          <w:szCs w:val="22"/>
        </w:rPr>
        <w:t>–</w:t>
      </w:r>
      <w:r w:rsidRPr="00FF1016">
        <w:rPr>
          <w:szCs w:val="22"/>
        </w:rPr>
        <w:t xml:space="preserve"> soci</w:t>
      </w:r>
      <w:r w:rsidRPr="00FF1016">
        <w:rPr>
          <w:rFonts w:hint="eastAsia"/>
          <w:szCs w:val="22"/>
        </w:rPr>
        <w:t>á</w:t>
      </w:r>
      <w:r w:rsidRPr="00FF1016">
        <w:rPr>
          <w:szCs w:val="22"/>
        </w:rPr>
        <w:t>ln</w:t>
      </w:r>
      <w:r w:rsidRPr="00FF1016">
        <w:rPr>
          <w:rFonts w:hint="eastAsia"/>
          <w:szCs w:val="22"/>
        </w:rPr>
        <w:t>í</w:t>
      </w:r>
      <w:r w:rsidRPr="00FF1016">
        <w:rPr>
          <w:szCs w:val="22"/>
        </w:rPr>
        <w:t xml:space="preserve"> pracovn</w:t>
      </w:r>
      <w:r w:rsidRPr="00FF1016">
        <w:rPr>
          <w:rFonts w:hint="eastAsia"/>
          <w:szCs w:val="22"/>
        </w:rPr>
        <w:t>í</w:t>
      </w:r>
      <w:r w:rsidRPr="00FF1016">
        <w:rPr>
          <w:szCs w:val="22"/>
        </w:rPr>
        <w:t>ci v ter</w:t>
      </w:r>
      <w:r w:rsidRPr="00FF1016">
        <w:rPr>
          <w:rFonts w:hint="eastAsia"/>
          <w:szCs w:val="22"/>
        </w:rPr>
        <w:t>é</w:t>
      </w:r>
      <w:r w:rsidRPr="00FF1016">
        <w:rPr>
          <w:szCs w:val="22"/>
        </w:rPr>
        <w:t>nu, na kontaktn</w:t>
      </w:r>
      <w:r w:rsidRPr="00FF1016">
        <w:rPr>
          <w:rFonts w:hint="eastAsia"/>
          <w:szCs w:val="22"/>
        </w:rPr>
        <w:t>í</w:t>
      </w:r>
      <w:r w:rsidRPr="00FF1016">
        <w:rPr>
          <w:szCs w:val="22"/>
        </w:rPr>
        <w:t>m m</w:t>
      </w:r>
      <w:r w:rsidRPr="00FF1016">
        <w:rPr>
          <w:rFonts w:hint="eastAsia"/>
          <w:szCs w:val="22"/>
        </w:rPr>
        <w:t>í</w:t>
      </w:r>
      <w:r w:rsidRPr="00FF1016">
        <w:rPr>
          <w:szCs w:val="22"/>
        </w:rPr>
        <w:t>st</w:t>
      </w:r>
      <w:r w:rsidRPr="00FF1016">
        <w:rPr>
          <w:rFonts w:hint="eastAsia"/>
          <w:szCs w:val="22"/>
        </w:rPr>
        <w:t>ě</w:t>
      </w:r>
      <w:r w:rsidRPr="00FF1016">
        <w:rPr>
          <w:szCs w:val="22"/>
        </w:rPr>
        <w:t>...</w:t>
      </w:r>
    </w:p>
    <w:p w:rsidR="009E2AAB" w:rsidRPr="00FF1016" w:rsidRDefault="009E2AAB" w:rsidP="009E2AAB">
      <w:pPr>
        <w:rPr>
          <w:szCs w:val="22"/>
        </w:rPr>
      </w:pPr>
      <w:r w:rsidRPr="00FF1016">
        <w:rPr>
          <w:szCs w:val="22"/>
        </w:rPr>
        <w:t>ZAMĚSTNANOST</w:t>
      </w:r>
    </w:p>
    <w:p w:rsidR="009E2AAB" w:rsidRPr="00FF1016" w:rsidRDefault="009E2AAB" w:rsidP="009E2AAB">
      <w:pPr>
        <w:rPr>
          <w:szCs w:val="22"/>
        </w:rPr>
      </w:pPr>
      <w:r w:rsidRPr="00FF1016">
        <w:rPr>
          <w:szCs w:val="22"/>
        </w:rPr>
        <w:tab/>
        <w:t>Nebyl projeven zájem z území.</w:t>
      </w:r>
    </w:p>
    <w:p w:rsidR="009E2AAB" w:rsidRPr="00FF1016" w:rsidRDefault="009E2AAB" w:rsidP="009E2AAB">
      <w:pPr>
        <w:rPr>
          <w:szCs w:val="22"/>
        </w:rPr>
      </w:pPr>
      <w:r w:rsidRPr="00FF1016">
        <w:rPr>
          <w:szCs w:val="22"/>
        </w:rPr>
        <w:t>SOCIÁLNÍ PODNIKÁNÍ</w:t>
      </w:r>
    </w:p>
    <w:p w:rsidR="009E2AAB" w:rsidRPr="00FF1016" w:rsidRDefault="009E2AAB" w:rsidP="00A60AC9">
      <w:pPr>
        <w:pStyle w:val="Odstavecseseznamem"/>
        <w:numPr>
          <w:ilvl w:val="0"/>
          <w:numId w:val="84"/>
        </w:numPr>
        <w:rPr>
          <w:szCs w:val="22"/>
        </w:rPr>
      </w:pPr>
      <w:r w:rsidRPr="00FF1016">
        <w:rPr>
          <w:szCs w:val="22"/>
        </w:rPr>
        <w:t>Vznik  a  rozvoj  (roz</w:t>
      </w:r>
      <w:r w:rsidRPr="00FF1016">
        <w:rPr>
          <w:rFonts w:hint="eastAsia"/>
          <w:szCs w:val="22"/>
        </w:rPr>
        <w:t>šíř</w:t>
      </w:r>
      <w:r w:rsidRPr="00FF1016">
        <w:rPr>
          <w:szCs w:val="22"/>
        </w:rPr>
        <w:t>en</w:t>
      </w:r>
      <w:r w:rsidRPr="00FF1016">
        <w:rPr>
          <w:rFonts w:hint="eastAsia"/>
          <w:szCs w:val="22"/>
        </w:rPr>
        <w:t>í</w:t>
      </w:r>
      <w:r w:rsidRPr="00FF1016">
        <w:rPr>
          <w:szCs w:val="22"/>
        </w:rPr>
        <w:t xml:space="preserve">  kapacity  podniku)  nov</w:t>
      </w:r>
      <w:r w:rsidRPr="00FF1016">
        <w:rPr>
          <w:rFonts w:hint="eastAsia"/>
          <w:szCs w:val="22"/>
        </w:rPr>
        <w:t>ý</w:t>
      </w:r>
      <w:r w:rsidRPr="00FF1016">
        <w:rPr>
          <w:szCs w:val="22"/>
        </w:rPr>
        <w:t>ch podnikatelsk</w:t>
      </w:r>
      <w:r w:rsidRPr="00FF1016">
        <w:rPr>
          <w:rFonts w:hint="eastAsia"/>
          <w:szCs w:val="22"/>
        </w:rPr>
        <w:t>ý</w:t>
      </w:r>
      <w:r w:rsidRPr="00FF1016">
        <w:rPr>
          <w:szCs w:val="22"/>
        </w:rPr>
        <w:t>ch  aktivit  v  oblasti soci</w:t>
      </w:r>
      <w:r w:rsidRPr="00FF1016">
        <w:rPr>
          <w:rFonts w:hint="eastAsia"/>
          <w:szCs w:val="22"/>
        </w:rPr>
        <w:t>á</w:t>
      </w:r>
      <w:r w:rsidRPr="00FF1016">
        <w:rPr>
          <w:szCs w:val="22"/>
        </w:rPr>
        <w:t>ln</w:t>
      </w:r>
      <w:r w:rsidRPr="00FF1016">
        <w:rPr>
          <w:rFonts w:hint="eastAsia"/>
          <w:szCs w:val="22"/>
        </w:rPr>
        <w:t>í</w:t>
      </w:r>
      <w:r w:rsidRPr="00FF1016">
        <w:rPr>
          <w:szCs w:val="22"/>
        </w:rPr>
        <w:t>ho podnik</w:t>
      </w:r>
      <w:r w:rsidRPr="00FF1016">
        <w:rPr>
          <w:rFonts w:hint="eastAsia"/>
          <w:szCs w:val="22"/>
        </w:rPr>
        <w:t>á</w:t>
      </w:r>
      <w:r w:rsidRPr="00FF1016">
        <w:rPr>
          <w:szCs w:val="22"/>
        </w:rPr>
        <w:t>n</w:t>
      </w:r>
      <w:r w:rsidRPr="00FF1016">
        <w:rPr>
          <w:rFonts w:hint="eastAsia"/>
          <w:szCs w:val="22"/>
        </w:rPr>
        <w:t>í</w:t>
      </w:r>
      <w:r w:rsidRPr="00FF1016">
        <w:rPr>
          <w:szCs w:val="22"/>
        </w:rPr>
        <w:t xml:space="preserve"> - integra</w:t>
      </w:r>
      <w:r w:rsidRPr="00FF1016">
        <w:rPr>
          <w:rFonts w:hint="eastAsia"/>
          <w:szCs w:val="22"/>
        </w:rPr>
        <w:t>č</w:t>
      </w:r>
      <w:r w:rsidRPr="00FF1016">
        <w:rPr>
          <w:szCs w:val="22"/>
        </w:rPr>
        <w:t>n</w:t>
      </w:r>
      <w:r w:rsidRPr="00FF1016">
        <w:rPr>
          <w:rFonts w:hint="eastAsia"/>
          <w:szCs w:val="22"/>
        </w:rPr>
        <w:t>í</w:t>
      </w:r>
      <w:r w:rsidRPr="00FF1016">
        <w:rPr>
          <w:szCs w:val="22"/>
        </w:rPr>
        <w:t xml:space="preserve"> soci</w:t>
      </w:r>
      <w:r w:rsidRPr="00FF1016">
        <w:rPr>
          <w:rFonts w:hint="eastAsia"/>
          <w:szCs w:val="22"/>
        </w:rPr>
        <w:t>á</w:t>
      </w:r>
      <w:r w:rsidRPr="00FF1016">
        <w:rPr>
          <w:szCs w:val="22"/>
        </w:rPr>
        <w:t>ln</w:t>
      </w:r>
      <w:r w:rsidRPr="00FF1016">
        <w:rPr>
          <w:rFonts w:hint="eastAsia"/>
          <w:szCs w:val="22"/>
        </w:rPr>
        <w:t>í</w:t>
      </w:r>
      <w:r w:rsidRPr="00FF1016">
        <w:rPr>
          <w:szCs w:val="22"/>
        </w:rPr>
        <w:t xml:space="preserve"> podnik</w:t>
      </w:r>
    </w:p>
    <w:p w:rsidR="009E2AAB" w:rsidRPr="00FF1016" w:rsidRDefault="009E2AAB" w:rsidP="009E2AAB">
      <w:pPr>
        <w:rPr>
          <w:szCs w:val="22"/>
        </w:rPr>
      </w:pPr>
    </w:p>
    <w:p w:rsidR="009E2AAB" w:rsidRPr="00FF1016" w:rsidRDefault="009E2AAB" w:rsidP="009E2AAB">
      <w:pPr>
        <w:rPr>
          <w:szCs w:val="22"/>
        </w:rPr>
      </w:pPr>
      <w:r w:rsidRPr="00FF1016">
        <w:rPr>
          <w:szCs w:val="22"/>
        </w:rPr>
        <w:t>PRORODINNÁ OPATŘENÍ</w:t>
      </w:r>
    </w:p>
    <w:p w:rsidR="009E2AAB" w:rsidRPr="00FF1016" w:rsidRDefault="009E2AAB" w:rsidP="00A60AC9">
      <w:pPr>
        <w:pStyle w:val="Odstavecseseznamem"/>
        <w:numPr>
          <w:ilvl w:val="0"/>
          <w:numId w:val="84"/>
        </w:numPr>
        <w:rPr>
          <w:szCs w:val="22"/>
        </w:rPr>
      </w:pPr>
      <w:r w:rsidRPr="00FF1016">
        <w:rPr>
          <w:szCs w:val="22"/>
        </w:rPr>
        <w:t>Podpora zařízení, která doplní chybějící kapacitu stávajících institucionálních forem zařízení (typu školní družiny, kluby), s možností podpory příměstských táborů v době školních prázdnin</w:t>
      </w:r>
    </w:p>
    <w:p w:rsidR="009E2AAB" w:rsidRPr="00FF1016" w:rsidRDefault="009E2AAB" w:rsidP="00A60AC9">
      <w:pPr>
        <w:pStyle w:val="Odstavecseseznamem"/>
        <w:numPr>
          <w:ilvl w:val="1"/>
          <w:numId w:val="84"/>
        </w:numPr>
        <w:rPr>
          <w:szCs w:val="22"/>
        </w:rPr>
      </w:pPr>
      <w:r w:rsidRPr="00FF1016">
        <w:rPr>
          <w:szCs w:val="22"/>
        </w:rPr>
        <w:t>Pro děti mladšího školního věku</w:t>
      </w:r>
    </w:p>
    <w:p w:rsidR="009E2AAB" w:rsidRPr="00FF1016" w:rsidRDefault="009E2AAB" w:rsidP="00A60AC9">
      <w:pPr>
        <w:pStyle w:val="Odstavecseseznamem"/>
        <w:numPr>
          <w:ilvl w:val="0"/>
          <w:numId w:val="84"/>
        </w:numPr>
        <w:rPr>
          <w:szCs w:val="22"/>
        </w:rPr>
      </w:pPr>
      <w:r w:rsidRPr="00FF1016">
        <w:rPr>
          <w:szCs w:val="22"/>
        </w:rPr>
        <w:t>Podpora dětských skupin pro podniky i veřejnost</w:t>
      </w:r>
    </w:p>
    <w:p w:rsidR="009E2AAB" w:rsidRPr="00FF1016" w:rsidRDefault="009E2AAB" w:rsidP="00A60AC9">
      <w:pPr>
        <w:pStyle w:val="Odstavecseseznamem"/>
        <w:numPr>
          <w:ilvl w:val="0"/>
          <w:numId w:val="84"/>
        </w:numPr>
        <w:rPr>
          <w:szCs w:val="22"/>
        </w:rPr>
      </w:pPr>
      <w:r w:rsidRPr="00FF1016">
        <w:rPr>
          <w:szCs w:val="22"/>
        </w:rPr>
        <w:t>Individuální péče o děti</w:t>
      </w:r>
    </w:p>
    <w:p w:rsidR="009E2AAB" w:rsidRPr="00FF1016" w:rsidRDefault="009E2AAB" w:rsidP="00A60AC9">
      <w:pPr>
        <w:pStyle w:val="Odstavecseseznamem"/>
        <w:numPr>
          <w:ilvl w:val="1"/>
          <w:numId w:val="84"/>
        </w:numPr>
        <w:rPr>
          <w:szCs w:val="22"/>
        </w:rPr>
      </w:pPr>
      <w:r w:rsidRPr="00FF1016">
        <w:rPr>
          <w:szCs w:val="22"/>
        </w:rPr>
        <w:t>Vzdělávání pečujících osob, podpora pracovního uplatnění</w:t>
      </w:r>
    </w:p>
    <w:p w:rsidR="00646B48" w:rsidRDefault="00646B48" w:rsidP="00646B48">
      <w:pPr>
        <w:pStyle w:val="Nadpis4"/>
      </w:pPr>
      <w:r>
        <w:t>Možní příjemci</w:t>
      </w:r>
    </w:p>
    <w:p w:rsidR="000136B8" w:rsidRPr="000136B8" w:rsidRDefault="000136B8" w:rsidP="000136B8">
      <w:r>
        <w:t>Nestátní neziskové organizace, obce, svazky obcí, církevní právnické osoby.</w:t>
      </w:r>
    </w:p>
    <w:p w:rsidR="00646B48" w:rsidRDefault="00646B48" w:rsidP="00646B48">
      <w:pPr>
        <w:pStyle w:val="Nadpis4"/>
      </w:pPr>
      <w:r>
        <w:t>Způsobilé výdaje</w:t>
      </w:r>
    </w:p>
    <w:p w:rsidR="00646B48" w:rsidRDefault="00646B48" w:rsidP="00646B48">
      <w:r>
        <w:t>Způsobilé výdaje na jeden projekt mohou být:  100 000 Kč – 5 000 000 Kč.</w:t>
      </w:r>
    </w:p>
    <w:p w:rsidR="00646B48" w:rsidRDefault="00646B48" w:rsidP="00646B48">
      <w:pPr>
        <w:pStyle w:val="Nadpis4"/>
      </w:pPr>
      <w:r>
        <w:t>Principy stanovení preferenčních kritérií</w:t>
      </w:r>
    </w:p>
    <w:p w:rsidR="000136B8" w:rsidRDefault="000136B8" w:rsidP="000136B8">
      <w:r>
        <w:t>Kritéria budou stanovena tak, aby byly preferovány ty projekty, které nejvíce řeší specifické potřeby území působnosti MAS Litomyšlsko.</w:t>
      </w:r>
    </w:p>
    <w:p w:rsidR="007B126F" w:rsidRDefault="007B126F" w:rsidP="007B126F">
      <w:pPr>
        <w:pStyle w:val="Nadpis4"/>
      </w:pPr>
      <w:r>
        <w:lastRenderedPageBreak/>
        <w:t>Monitorovací indikátory</w:t>
      </w:r>
    </w:p>
    <w:p w:rsidR="00546849" w:rsidRPr="00546849" w:rsidRDefault="00DF0A29" w:rsidP="00546849">
      <w:r>
        <w:t>Viz kapitoly 3.3 Definice podoblastí, cílů a indikátorů.</w:t>
      </w:r>
    </w:p>
    <w:p w:rsidR="00EB5BD0" w:rsidRDefault="00EB5BD0" w:rsidP="009F4D7F">
      <w:pPr>
        <w:pStyle w:val="Nadpis2"/>
      </w:pPr>
      <w:bookmarkStart w:id="60" w:name="_Toc430006530"/>
      <w:r>
        <w:t>Stanovení priorit</w:t>
      </w:r>
      <w:bookmarkEnd w:id="60"/>
    </w:p>
    <w:p w:rsidR="00380645" w:rsidRDefault="00380645" w:rsidP="00F43017">
      <w:r>
        <w:t>Stanove</w:t>
      </w:r>
      <w:r w:rsidR="00C1703D">
        <w:t>ní k propojení mise a dlouhodobé</w:t>
      </w:r>
      <w:r>
        <w:t xml:space="preserve"> vize spočívá v zdůrazňování mí</w:t>
      </w:r>
      <w:r w:rsidR="00C1703D">
        <w:t>stních potřeb, obyvatel, jejich životních podmínek a</w:t>
      </w:r>
      <w:r>
        <w:t xml:space="preserve"> prostředí. Strategie musí být prosazována v potřebném rozsahu a trvalou intenzitou. MAS proto stanovila, aby ve všech podoblastech navržená opatření zdůrazňovala priority, které tuto strategii realizačně vyjádří:</w:t>
      </w:r>
    </w:p>
    <w:p w:rsidR="00380645" w:rsidRDefault="00380645" w:rsidP="00A60AC9">
      <w:pPr>
        <w:pStyle w:val="Odstavecseseznamem"/>
        <w:numPr>
          <w:ilvl w:val="0"/>
          <w:numId w:val="46"/>
        </w:numPr>
      </w:pPr>
      <w:r>
        <w:t>Zdůraznění prospěchu pro obecně slabší skupiny obyvatel: děti a mládež, starší a seniory (55 +), rodiče školáků a menších dětí.</w:t>
      </w:r>
    </w:p>
    <w:p w:rsidR="00380645" w:rsidRDefault="00380645" w:rsidP="00F43017">
      <w:pPr>
        <w:ind w:left="708"/>
      </w:pPr>
      <w:r>
        <w:t>Každé podpořené opatření bude směřováno, aby především poskytlo služby odstraňující relativní nevýhody těmto skupinám</w:t>
      </w:r>
      <w:r w:rsidR="00801FBF">
        <w:t xml:space="preserve"> (nebo je alespoň nezhoršovalo)</w:t>
      </w:r>
      <w:r>
        <w:t>. Přitom musí být konkrétně prokázána poptávka po těchto službách a ochota cílových uživatelů využívat realizované výstupy i po skončení podpůrné intervence.</w:t>
      </w:r>
    </w:p>
    <w:p w:rsidR="00380645" w:rsidRDefault="00380645" w:rsidP="00A60AC9">
      <w:pPr>
        <w:pStyle w:val="Odstavecseseznamem"/>
        <w:numPr>
          <w:ilvl w:val="0"/>
          <w:numId w:val="46"/>
        </w:numPr>
      </w:pPr>
      <w:r>
        <w:t>Trvalost investic a opatření spočívající v upřednostnění úprav využitelných objektů, ale též komunitně perspektivními službami s celoživotními efekty.</w:t>
      </w:r>
    </w:p>
    <w:p w:rsidR="00380645" w:rsidRDefault="00380645" w:rsidP="00F43017">
      <w:pPr>
        <w:ind w:left="708"/>
      </w:pPr>
      <w:r>
        <w:t>Podpora opatření bude tedy namířena do akcí konzistentních se stabilním prostředím, navazujících na dosavadní dispozice lidí i infrastruktury. Zvlášť se vyhne projektům kampaní bez vztahu k místním reáliím, nejistým investicím na zelené louce. Naopak účelem priority je udržet stávající zástavbu, revitalizovat a regenerovat krajinnou úpravu a předcházet úpadku charakteru brownfields, náletových ploch, zane</w:t>
      </w:r>
      <w:r w:rsidR="00514355">
        <w:t>dbané nefunkční infrastruktury.</w:t>
      </w:r>
    </w:p>
    <w:p w:rsidR="001E305B" w:rsidRPr="00380645" w:rsidRDefault="001E305B" w:rsidP="001E305B">
      <w:r>
        <w:t xml:space="preserve">Priority jednotlivých opatření </w:t>
      </w:r>
      <w:r w:rsidR="006305B3">
        <w:t>jsou určeny názory aktérů</w:t>
      </w:r>
      <w:r>
        <w:t xml:space="preserve"> v území, které jsou zobrazeny v tabulce obsažené v kapitole 2.1.4.3</w:t>
      </w:r>
      <w:r w:rsidRPr="001E305B">
        <w:t xml:space="preserve"> </w:t>
      </w:r>
      <w:r>
        <w:t>Shrnutí informací o občanské vybavenosti a službách.</w:t>
      </w:r>
    </w:p>
    <w:p w:rsidR="00E22D1A" w:rsidRDefault="00EB5BD0" w:rsidP="009F4D7F">
      <w:pPr>
        <w:pStyle w:val="Nadpis2"/>
      </w:pPr>
      <w:bookmarkStart w:id="61" w:name="_Toc430006531"/>
      <w:r>
        <w:t>Návaznos</w:t>
      </w:r>
      <w:r w:rsidR="00E22D1A">
        <w:t>t na jiné strategické dokumenty</w:t>
      </w:r>
      <w:bookmarkEnd w:id="61"/>
    </w:p>
    <w:p w:rsidR="006E2A02" w:rsidRDefault="006E2A02" w:rsidP="006E2A02">
      <w:r>
        <w:t>Při tvorbě tohoto strategického dokumentu bylo dbáno na</w:t>
      </w:r>
      <w:r w:rsidR="000916AF">
        <w:t xml:space="preserve"> </w:t>
      </w:r>
      <w:r w:rsidR="00DC35E1">
        <w:t xml:space="preserve">dosažení </w:t>
      </w:r>
      <w:r w:rsidR="000916AF">
        <w:t>souladu</w:t>
      </w:r>
      <w:r>
        <w:t xml:space="preserve"> se</w:t>
      </w:r>
      <w:r w:rsidR="00DC35E1">
        <w:t xml:space="preserve"> strategickými dokumenty</w:t>
      </w:r>
      <w:r w:rsidR="000916AF">
        <w:t xml:space="preserve"> </w:t>
      </w:r>
      <w:r>
        <w:t>Pardubick</w:t>
      </w:r>
      <w:r w:rsidR="000916AF">
        <w:t>ého</w:t>
      </w:r>
      <w:r>
        <w:t xml:space="preserve"> kraj</w:t>
      </w:r>
      <w:r w:rsidR="000916AF">
        <w:t>e,</w:t>
      </w:r>
      <w:r>
        <w:t xml:space="preserve"> se strategickými dokumenty mikroregionů a dobrovolných svazků obcí, jejichž území se kryje s územím působnosti MAS, ale také se strategickými </w:t>
      </w:r>
      <w:r>
        <w:lastRenderedPageBreak/>
        <w:t>dokumenty jednotlivých obcí</w:t>
      </w:r>
      <w:r w:rsidR="000916AF">
        <w:t xml:space="preserve"> (dostupné strategické dokumenty mikroregionů, dobrovolných svazků obcí a obcí samotných byly tímto strategickým dokumentem akceptovány)</w:t>
      </w:r>
      <w:r>
        <w:t>.</w:t>
      </w:r>
    </w:p>
    <w:p w:rsidR="000916AF" w:rsidRDefault="000916AF" w:rsidP="006E2A02">
      <w:r>
        <w:t>Rovněž byl kladen důraz na soulad s dostupnými strategiemi správních obvodů ORP, jejichž území a území působnosti MAS se kryje.</w:t>
      </w:r>
    </w:p>
    <w:p w:rsidR="006E2A02" w:rsidRDefault="006E2A02" w:rsidP="006E2A02">
      <w:r>
        <w:t>Byl zájem začlenit zohlednit také záměry soukromých subjektů formalizované v jejich strategických dokumentech, ale tyto dokumenty nejsou veřejné ani dostupné na vyžádání z důvodu zachování utajení před konkurencí.</w:t>
      </w:r>
    </w:p>
    <w:p w:rsidR="000916AF" w:rsidRDefault="000916AF" w:rsidP="002932A8">
      <w:r>
        <w:t>Byla respektována Regionální inovační strategie Pardubického kraje</w:t>
      </w:r>
      <w:r w:rsidR="002932A8">
        <w:t>.</w:t>
      </w:r>
    </w:p>
    <w:p w:rsidR="000916AF" w:rsidRDefault="000916AF" w:rsidP="006E2A02">
      <w:r>
        <w:t xml:space="preserve">Byly akceptovány strategie </w:t>
      </w:r>
      <w:r w:rsidR="002932A8">
        <w:t>dobrovolných svazků obcí a mikroregionů.</w:t>
      </w:r>
    </w:p>
    <w:p w:rsidR="002932A8" w:rsidRDefault="002932A8" w:rsidP="00A60AC9">
      <w:pPr>
        <w:pStyle w:val="Odstavecseseznamem"/>
        <w:numPr>
          <w:ilvl w:val="0"/>
          <w:numId w:val="32"/>
        </w:numPr>
      </w:pPr>
      <w:r>
        <w:t>Mikroregiony.</w:t>
      </w:r>
    </w:p>
    <w:p w:rsidR="002932A8" w:rsidRDefault="002932A8" w:rsidP="00A60AC9">
      <w:pPr>
        <w:pStyle w:val="Odstavecseseznamem"/>
        <w:numPr>
          <w:ilvl w:val="1"/>
          <w:numId w:val="32"/>
        </w:numPr>
      </w:pPr>
      <w:r>
        <w:t>Litomyšlsko.</w:t>
      </w:r>
    </w:p>
    <w:p w:rsidR="002932A8" w:rsidRDefault="002932A8" w:rsidP="00A60AC9">
      <w:pPr>
        <w:pStyle w:val="Odstavecseseznamem"/>
        <w:numPr>
          <w:ilvl w:val="1"/>
          <w:numId w:val="32"/>
        </w:numPr>
      </w:pPr>
      <w:r>
        <w:t>Vysokomýtsko (strategie mikroregionu byla v době tvorby tohoto dokumentu ve fázi vzniku, soulad dosažen vzájemnou komunikací).</w:t>
      </w:r>
    </w:p>
    <w:p w:rsidR="002932A8" w:rsidRDefault="002932A8" w:rsidP="00A60AC9">
      <w:pPr>
        <w:pStyle w:val="Odstavecseseznamem"/>
        <w:numPr>
          <w:ilvl w:val="1"/>
          <w:numId w:val="32"/>
        </w:numPr>
      </w:pPr>
      <w:r>
        <w:t>Hlinecko.</w:t>
      </w:r>
    </w:p>
    <w:p w:rsidR="002932A8" w:rsidRDefault="002932A8" w:rsidP="00A60AC9">
      <w:pPr>
        <w:pStyle w:val="Odstavecseseznamem"/>
        <w:numPr>
          <w:ilvl w:val="1"/>
          <w:numId w:val="32"/>
        </w:numPr>
      </w:pPr>
      <w:r>
        <w:t>Desinka.</w:t>
      </w:r>
    </w:p>
    <w:p w:rsidR="002932A8" w:rsidRDefault="002932A8" w:rsidP="00A60AC9">
      <w:pPr>
        <w:pStyle w:val="Odstavecseseznamem"/>
        <w:numPr>
          <w:ilvl w:val="0"/>
          <w:numId w:val="32"/>
        </w:numPr>
      </w:pPr>
      <w:r>
        <w:t>Dobrovolné svazky obcí.</w:t>
      </w:r>
    </w:p>
    <w:p w:rsidR="002932A8" w:rsidRDefault="002932A8" w:rsidP="00A60AC9">
      <w:pPr>
        <w:pStyle w:val="Odstavecseseznamem"/>
        <w:numPr>
          <w:ilvl w:val="1"/>
          <w:numId w:val="32"/>
        </w:numPr>
      </w:pPr>
      <w:r>
        <w:t>Sdružení obcí Toulovcovy Maštale (Strategický plán rozvoje Sdružení obcí Toulovcovy maštale na rok 2012 – 2020).</w:t>
      </w:r>
    </w:p>
    <w:p w:rsidR="002932A8" w:rsidRDefault="002932A8" w:rsidP="00A60AC9">
      <w:pPr>
        <w:pStyle w:val="Odstavecseseznamem"/>
        <w:numPr>
          <w:ilvl w:val="1"/>
          <w:numId w:val="32"/>
        </w:numPr>
      </w:pPr>
      <w:r>
        <w:t>Kraj Smetany a Martinů (Strategický plán rozvoje Kraje Smetany a Martinů)</w:t>
      </w:r>
    </w:p>
    <w:p w:rsidR="002932A8" w:rsidRDefault="002932A8" w:rsidP="002932A8">
      <w:r>
        <w:t>Dále byly akceptovány dostupné strategické dokumenty jednotlivých měst a obcí.</w:t>
      </w:r>
    </w:p>
    <w:p w:rsidR="007A5BEB" w:rsidRDefault="00264508" w:rsidP="00A60AC9">
      <w:pPr>
        <w:pStyle w:val="Odstavecseseznamem"/>
        <w:numPr>
          <w:ilvl w:val="0"/>
          <w:numId w:val="47"/>
        </w:numPr>
      </w:pPr>
      <w:r>
        <w:t xml:space="preserve">Vysoké Mýto </w:t>
      </w:r>
      <w:r w:rsidR="002932A8">
        <w:t>(dokument byl v době vzniku SCLLD ve fázi vzniku, soulad byl dosažen vzájemnou komunikací).</w:t>
      </w:r>
    </w:p>
    <w:p w:rsidR="002932A8" w:rsidRDefault="002932A8" w:rsidP="00A60AC9">
      <w:pPr>
        <w:pStyle w:val="Odstavecseseznamem"/>
        <w:numPr>
          <w:ilvl w:val="0"/>
          <w:numId w:val="47"/>
        </w:numPr>
      </w:pPr>
      <w:r>
        <w:t>Litomyšl.</w:t>
      </w:r>
    </w:p>
    <w:p w:rsidR="002932A8" w:rsidRDefault="002932A8" w:rsidP="00A60AC9">
      <w:pPr>
        <w:pStyle w:val="Odstavecseseznamem"/>
        <w:numPr>
          <w:ilvl w:val="0"/>
          <w:numId w:val="47"/>
        </w:numPr>
      </w:pPr>
      <w:r>
        <w:t>Proseč.</w:t>
      </w:r>
    </w:p>
    <w:p w:rsidR="002932A8" w:rsidRDefault="002932A8" w:rsidP="00A60AC9">
      <w:pPr>
        <w:pStyle w:val="Odstavecseseznamem"/>
        <w:numPr>
          <w:ilvl w:val="0"/>
          <w:numId w:val="47"/>
        </w:numPr>
      </w:pPr>
      <w:r>
        <w:lastRenderedPageBreak/>
        <w:t>Poříčí u Litomyšle.</w:t>
      </w:r>
    </w:p>
    <w:p w:rsidR="002932A8" w:rsidRDefault="002932A8" w:rsidP="00A60AC9">
      <w:pPr>
        <w:pStyle w:val="Odstavecseseznamem"/>
        <w:numPr>
          <w:ilvl w:val="0"/>
          <w:numId w:val="47"/>
        </w:numPr>
      </w:pPr>
      <w:r>
        <w:t>Perálec.</w:t>
      </w:r>
    </w:p>
    <w:p w:rsidR="002932A8" w:rsidRDefault="002932A8" w:rsidP="00A60AC9">
      <w:pPr>
        <w:pStyle w:val="Odstavecseseznamem"/>
        <w:numPr>
          <w:ilvl w:val="0"/>
          <w:numId w:val="47"/>
        </w:numPr>
      </w:pPr>
      <w:r>
        <w:t>Osík.</w:t>
      </w:r>
    </w:p>
    <w:p w:rsidR="002932A8" w:rsidRDefault="002932A8" w:rsidP="00A60AC9">
      <w:pPr>
        <w:pStyle w:val="Odstavecseseznamem"/>
        <w:numPr>
          <w:ilvl w:val="0"/>
          <w:numId w:val="47"/>
        </w:numPr>
      </w:pPr>
      <w:r>
        <w:t>České Heřmanice.</w:t>
      </w:r>
    </w:p>
    <w:p w:rsidR="002932A8" w:rsidRDefault="002932A8" w:rsidP="00A60AC9">
      <w:pPr>
        <w:pStyle w:val="Odstavecseseznamem"/>
        <w:numPr>
          <w:ilvl w:val="0"/>
          <w:numId w:val="47"/>
        </w:numPr>
      </w:pPr>
      <w:r>
        <w:t>Horní újezd.</w:t>
      </w:r>
    </w:p>
    <w:p w:rsidR="00264508" w:rsidRDefault="002932A8" w:rsidP="00A60AC9">
      <w:pPr>
        <w:pStyle w:val="Odstavecseseznamem"/>
        <w:numPr>
          <w:ilvl w:val="0"/>
          <w:numId w:val="47"/>
        </w:numPr>
      </w:pPr>
      <w:r>
        <w:t>J</w:t>
      </w:r>
      <w:r w:rsidR="00264508">
        <w:t>anov</w:t>
      </w:r>
      <w:r>
        <w:t>.</w:t>
      </w:r>
    </w:p>
    <w:p w:rsidR="002932A8" w:rsidRDefault="002932A8" w:rsidP="00A60AC9">
      <w:pPr>
        <w:pStyle w:val="Odstavecseseznamem"/>
        <w:numPr>
          <w:ilvl w:val="0"/>
          <w:numId w:val="47"/>
        </w:numPr>
      </w:pPr>
      <w:r>
        <w:t>Nové Hrady.</w:t>
      </w:r>
    </w:p>
    <w:p w:rsidR="002932A8" w:rsidRDefault="002932A8" w:rsidP="00A60AC9">
      <w:pPr>
        <w:pStyle w:val="Odstavecseseznamem"/>
        <w:numPr>
          <w:ilvl w:val="0"/>
          <w:numId w:val="47"/>
        </w:numPr>
      </w:pPr>
      <w:r>
        <w:t>Suchá Lhota.</w:t>
      </w:r>
    </w:p>
    <w:p w:rsidR="002932A8" w:rsidRDefault="00264508" w:rsidP="00A60AC9">
      <w:pPr>
        <w:pStyle w:val="Odstavecseseznamem"/>
        <w:numPr>
          <w:ilvl w:val="0"/>
          <w:numId w:val="47"/>
        </w:numPr>
      </w:pPr>
      <w:r>
        <w:t>Bučina</w:t>
      </w:r>
      <w:r w:rsidR="002932A8">
        <w:t>.</w:t>
      </w:r>
    </w:p>
    <w:p w:rsidR="002932A8" w:rsidRDefault="00264508" w:rsidP="00A60AC9">
      <w:pPr>
        <w:pStyle w:val="Odstavecseseznamem"/>
        <w:numPr>
          <w:ilvl w:val="0"/>
          <w:numId w:val="47"/>
        </w:numPr>
      </w:pPr>
      <w:r>
        <w:t xml:space="preserve">Cerekvice </w:t>
      </w:r>
      <w:r w:rsidR="002932A8">
        <w:t>nad Loučnou.</w:t>
      </w:r>
    </w:p>
    <w:p w:rsidR="002932A8" w:rsidRDefault="00264508" w:rsidP="00A60AC9">
      <w:pPr>
        <w:pStyle w:val="Odstavecseseznamem"/>
        <w:numPr>
          <w:ilvl w:val="0"/>
          <w:numId w:val="47"/>
        </w:numPr>
      </w:pPr>
      <w:r>
        <w:t>Tisová</w:t>
      </w:r>
      <w:r w:rsidR="002932A8">
        <w:t>.</w:t>
      </w:r>
    </w:p>
    <w:p w:rsidR="00264508" w:rsidRDefault="00264508" w:rsidP="00A60AC9">
      <w:pPr>
        <w:pStyle w:val="Odstavecseseznamem"/>
        <w:numPr>
          <w:ilvl w:val="0"/>
          <w:numId w:val="47"/>
        </w:numPr>
      </w:pPr>
      <w:r>
        <w:t>Újezdec</w:t>
      </w:r>
      <w:r w:rsidR="002932A8">
        <w:t>.</w:t>
      </w:r>
    </w:p>
    <w:p w:rsidR="008641FB" w:rsidRDefault="008641FB" w:rsidP="002932A8">
      <w:r>
        <w:t>Bylo dosaženo souladu se strategickými dokumenty dotčených</w:t>
      </w:r>
      <w:r w:rsidR="006A66DC">
        <w:t xml:space="preserve"> </w:t>
      </w:r>
      <w:r>
        <w:t>správních obvodů ORP.</w:t>
      </w:r>
    </w:p>
    <w:p w:rsidR="008641FB" w:rsidRDefault="008641FB" w:rsidP="00A60AC9">
      <w:pPr>
        <w:pStyle w:val="Odstavecseseznamem"/>
        <w:numPr>
          <w:ilvl w:val="0"/>
          <w:numId w:val="48"/>
        </w:numPr>
      </w:pPr>
      <w:r>
        <w:t>Litomyšl.</w:t>
      </w:r>
    </w:p>
    <w:p w:rsidR="008641FB" w:rsidRDefault="008641FB" w:rsidP="00A60AC9">
      <w:pPr>
        <w:pStyle w:val="Odstavecseseznamem"/>
        <w:numPr>
          <w:ilvl w:val="0"/>
          <w:numId w:val="48"/>
        </w:numPr>
      </w:pPr>
      <w:r>
        <w:t>Vysoké Mýto (strategie byla v době tvorby tohoto dokumentu ve fázi vzniku, soulad dosažen vzájemnou komunikací).</w:t>
      </w:r>
    </w:p>
    <w:p w:rsidR="008641FB" w:rsidRDefault="008641FB" w:rsidP="00A60AC9">
      <w:pPr>
        <w:pStyle w:val="Odstavecseseznamem"/>
        <w:numPr>
          <w:ilvl w:val="0"/>
          <w:numId w:val="48"/>
        </w:numPr>
      </w:pPr>
      <w:r>
        <w:t>Hlinsko.</w:t>
      </w:r>
    </w:p>
    <w:p w:rsidR="006A66DC" w:rsidRPr="00E22D1A" w:rsidRDefault="006A66DC" w:rsidP="006A66DC">
      <w:r>
        <w:t>V průběhu vzniku SCLLD vznikaly také zejména na úrovni ORP nové úzce zaměřené strategické dokumenty, kde byl soulad zajištěn komunikací s jejich tvůrci.</w:t>
      </w:r>
    </w:p>
    <w:p w:rsidR="002932A8" w:rsidRDefault="002932A8" w:rsidP="002932A8">
      <w:r>
        <w:t xml:space="preserve">Rovněž byly zmapovány územně plánovací dokumenty obcí (viz </w:t>
      </w:r>
      <w:r w:rsidR="00AD271D">
        <w:t>2.2.1 Územní plánování</w:t>
      </w:r>
      <w:r>
        <w:t>)</w:t>
      </w:r>
      <w:r w:rsidR="000B1074">
        <w:t xml:space="preserve">, </w:t>
      </w:r>
      <w:r w:rsidR="00AD271D">
        <w:t>s</w:t>
      </w:r>
      <w:r w:rsidR="000B1074">
        <w:t>e kterými je SCLLD rovněž v souladu.</w:t>
      </w:r>
    </w:p>
    <w:p w:rsidR="00382363" w:rsidRDefault="00382363" w:rsidP="009F4D7F">
      <w:pPr>
        <w:pStyle w:val="Nadpis2"/>
      </w:pPr>
      <w:bookmarkStart w:id="62" w:name="_Toc430006532"/>
      <w:r>
        <w:lastRenderedPageBreak/>
        <w:t>Podněty z dobré praxe jiných regionů</w:t>
      </w:r>
      <w:bookmarkEnd w:id="62"/>
    </w:p>
    <w:p w:rsidR="00E72F7D" w:rsidRDefault="00E72F7D" w:rsidP="00F43017">
      <w:r>
        <w:t>Při šetření názorů veřejnosti a starostů se samozřejmě projevila také inspirace úspěchu, které respondenti zaznamenali v jiných regionech. Podobn</w:t>
      </w:r>
      <w:r w:rsidR="00464FCF">
        <w:t>ě</w:t>
      </w:r>
      <w:r>
        <w:t xml:space="preserve"> jsou zkušenosti odjinud konzultovány s odborníky městských úřadů, podniků a neziskového sektoru. Existuje řada příkladů, avšak </w:t>
      </w:r>
      <w:r w:rsidR="00464FCF">
        <w:t xml:space="preserve">kompetence i </w:t>
      </w:r>
      <w:r>
        <w:t>zdroje v </w:t>
      </w:r>
      <w:r w:rsidR="00464FCF">
        <w:t>dosahu</w:t>
      </w:r>
      <w:r>
        <w:t xml:space="preserve"> MAS jsou velmi omezujícím faktorem. Do kompetencí jiných autorit je přitom obtížné byť jen navrhovat a doporučovat.</w:t>
      </w:r>
    </w:p>
    <w:p w:rsidR="00E72F7D" w:rsidRDefault="00E72F7D" w:rsidP="00F43017">
      <w:r>
        <w:t xml:space="preserve">Hlavní inspirací pro MAS jsou příklady tzv. integrovaných projektů a regionálně zaměřených služeb včetně režie správy malých obcí. Mezi zkušenostmi jsou i takové, kdy jsou vidět negativní důsledky obdobných záměrů z více úrovní bez racionální regulace. Tak je dnes patrná inflace různých místních značek matoucí ty, kterým jsou určeny. S kritickým odstupem hodnotíme také některé podpory dotačních aktivit podnikatelům. Ty mají smysl jen cíleně na vhodné a schopné podniky, musí je poskytovat zkušení odborníci a nesmí být samoúčelné a nákladnější než přirozený vývoj selekce. </w:t>
      </w:r>
    </w:p>
    <w:p w:rsidR="00E72F7D" w:rsidRDefault="00E72F7D" w:rsidP="00F43017">
      <w:r>
        <w:t>Pro potřeby zachycené analýzou chce MAS využít praxi odjinud do oblastí:</w:t>
      </w:r>
    </w:p>
    <w:p w:rsidR="00E72F7D" w:rsidRDefault="00E72F7D" w:rsidP="00A60AC9">
      <w:pPr>
        <w:pStyle w:val="Odstavecseseznamem"/>
        <w:numPr>
          <w:ilvl w:val="0"/>
          <w:numId w:val="32"/>
        </w:numPr>
      </w:pPr>
      <w:r>
        <w:t>sdílených služeb pro více obcí, zvlášť v účelové terénní práci zdravotně sociální, dílčích agend samosprávy malých obcí, technické údržby;</w:t>
      </w:r>
    </w:p>
    <w:p w:rsidR="00E72F7D" w:rsidRDefault="00E72F7D" w:rsidP="00A60AC9">
      <w:pPr>
        <w:pStyle w:val="Odstavecseseznamem"/>
        <w:numPr>
          <w:ilvl w:val="0"/>
          <w:numId w:val="32"/>
        </w:numPr>
      </w:pPr>
      <w:r>
        <w:t>posilování místní bezmotorové dopravy při spojování míst uvnitř obcí a mezi obcemi, nejen jako turistických cest, ale pro každodenní dopravu místních;</w:t>
      </w:r>
    </w:p>
    <w:p w:rsidR="00A35FBB" w:rsidRDefault="00A35FBB" w:rsidP="00A60AC9">
      <w:pPr>
        <w:pStyle w:val="Odstavecseseznamem"/>
        <w:numPr>
          <w:ilvl w:val="0"/>
          <w:numId w:val="32"/>
        </w:numPr>
      </w:pPr>
      <w:r>
        <w:t>odpadového hospodářství a možného využití ekonomických efektů,</w:t>
      </w:r>
    </w:p>
    <w:p w:rsidR="00E72F7D" w:rsidRDefault="00E72F7D" w:rsidP="00A60AC9">
      <w:pPr>
        <w:pStyle w:val="Odstavecseseznamem"/>
        <w:numPr>
          <w:ilvl w:val="0"/>
          <w:numId w:val="32"/>
        </w:numPr>
      </w:pPr>
      <w:r>
        <w:t>revitalizace dožívajících krajinných prvků a orientačních prvků místního charakteru, výchovných a naučných informací o drobných místních hodnotách.</w:t>
      </w:r>
    </w:p>
    <w:p w:rsidR="00EB5BD0" w:rsidRDefault="009F3E66" w:rsidP="009F4D7F">
      <w:pPr>
        <w:pStyle w:val="Nadpis2"/>
      </w:pPr>
      <w:bookmarkStart w:id="63" w:name="_Toc430006533"/>
      <w:r>
        <w:t>I</w:t>
      </w:r>
      <w:r w:rsidR="00EB5BD0">
        <w:t>ntegrační prvky</w:t>
      </w:r>
      <w:bookmarkEnd w:id="63"/>
    </w:p>
    <w:p w:rsidR="00E72F7D" w:rsidRDefault="00E72F7D" w:rsidP="00C945D1">
      <w:r>
        <w:t xml:space="preserve">Zaměření celé strategie a také praktické inspirace odjinud se víceméně opírají o integrační potřeby a vize. MAS je přesvědčena, že účelná integrace v mnoha sférách životních potřeb a životního prostředí je pilířem udržitelné konzistentní kvality v prostoru regionu. Existují zde pádné objektivní příčiny proč integrovat. </w:t>
      </w:r>
    </w:p>
    <w:p w:rsidR="00E72F7D" w:rsidRDefault="00E72F7D" w:rsidP="00C945D1">
      <w:r>
        <w:lastRenderedPageBreak/>
        <w:t>Ve vztahu k nadřazeným systémům je aktuálním projevem realizace rychlostní komunikace Hradec Králové – Mohelnice v úseku</w:t>
      </w:r>
      <w:r w:rsidR="0044105C">
        <w:t xml:space="preserve"> vedeném regionem. </w:t>
      </w:r>
      <w:r>
        <w:t xml:space="preserve">Fyzicky zasahuje téměř 20 % obcí a přes 80 % obyvatel, vztahově ji pocítí všichni. </w:t>
      </w:r>
    </w:p>
    <w:p w:rsidR="00E72F7D" w:rsidRDefault="00E72F7D" w:rsidP="00C945D1">
      <w:r>
        <w:t xml:space="preserve">Další příčinou je existence velkého počtu velkého počtu malých obcí. Život v nich nebude uspokojivý, pokud nebude trvale modernizována jejich obslužnost. A efektivnost obsluhy nehledě na disciplíny odvislé od propojování. </w:t>
      </w:r>
    </w:p>
    <w:p w:rsidR="00E72F7D" w:rsidRDefault="00E72F7D" w:rsidP="00C945D1">
      <w:r>
        <w:t>Také krajinný ráz regionu spojuje potřeby a zájmy, hospodaření lesní, polní i další lidské zásahy zde mají plošný, komplexní dopad. Konečně, také hospodářské důvody a konkurenční poměřování s jiným územím je dobrým důvodem k společnému jednání. Region tvoří pro některé statky a produkty trh, někdy i trh soupeřící s jinými. To se přenáší na různé disciplíny a jejich produkci. Oblasti, tj. disciplíny a působnosti ke konkrétním integračním opatřením vidí MAS takto:</w:t>
      </w:r>
    </w:p>
    <w:p w:rsidR="00C945D1" w:rsidRDefault="00C945D1" w:rsidP="00C945D1">
      <w:pPr>
        <w:pStyle w:val="Nadpis3"/>
      </w:pPr>
      <w:bookmarkStart w:id="64" w:name="_Toc430006534"/>
      <w:r>
        <w:t xml:space="preserve">Integrace </w:t>
      </w:r>
      <w:r w:rsidR="00BD1AB0">
        <w:t>v regionu MAS</w:t>
      </w:r>
      <w:bookmarkEnd w:id="64"/>
    </w:p>
    <w:p w:rsidR="00E72F7D" w:rsidRPr="00C945D1" w:rsidRDefault="00E72F7D" w:rsidP="00E72F7D">
      <w:r w:rsidRPr="00C945D1">
        <w:t>Propojení potřeb obyvatel více obcí, zejména malých, do objemů poptávky, které budou hospodářsky a logisticky atraktivní pro udržitelné podnikatelské nebo veřejné obstarávané činnosti. Tento směr integrace bude MAS postupně iniciovat pro existující formy poptávaných služeb a také jako zdroj jejich inovací v závislosti na vývoj místních potřeb a hospodářských možností.  Pro období do roku 2020 budou vhodnými okruhy disciplín k integraci mezi obcemi:</w:t>
      </w:r>
    </w:p>
    <w:p w:rsidR="00E72F7D" w:rsidRPr="00C945D1" w:rsidRDefault="00C945D1" w:rsidP="00A60AC9">
      <w:pPr>
        <w:pStyle w:val="Odstavecseseznamem"/>
        <w:numPr>
          <w:ilvl w:val="0"/>
          <w:numId w:val="32"/>
        </w:numPr>
      </w:pPr>
      <w:r>
        <w:t>sociálně-zdravotní služby</w:t>
      </w:r>
      <w:r w:rsidR="00E72F7D" w:rsidRPr="00C945D1">
        <w:t xml:space="preserve"> ambulantní a terénní, zvlášť pro rostoucí skupinu starších obyvatel;</w:t>
      </w:r>
    </w:p>
    <w:p w:rsidR="00E72F7D" w:rsidRPr="00C945D1" w:rsidRDefault="00E72F7D" w:rsidP="00A60AC9">
      <w:pPr>
        <w:pStyle w:val="Odstavecseseznamem"/>
        <w:numPr>
          <w:ilvl w:val="0"/>
          <w:numId w:val="32"/>
        </w:numPr>
      </w:pPr>
      <w:r w:rsidRPr="00C945D1">
        <w:t>služby technické údržby v obcích;</w:t>
      </w:r>
    </w:p>
    <w:p w:rsidR="00E72F7D" w:rsidRPr="00C945D1" w:rsidRDefault="00E72F7D" w:rsidP="00A60AC9">
      <w:pPr>
        <w:pStyle w:val="Odstavecseseznamem"/>
        <w:numPr>
          <w:ilvl w:val="0"/>
          <w:numId w:val="32"/>
        </w:numPr>
      </w:pPr>
      <w:r w:rsidRPr="00C945D1">
        <w:t>ekologické, hospodářsky soběstačné formy sběru a nakládání s odpady;</w:t>
      </w:r>
    </w:p>
    <w:p w:rsidR="00E72F7D" w:rsidRPr="00C945D1" w:rsidRDefault="00E72F7D" w:rsidP="00A60AC9">
      <w:pPr>
        <w:pStyle w:val="Odstavecseseznamem"/>
        <w:numPr>
          <w:ilvl w:val="0"/>
          <w:numId w:val="32"/>
        </w:numPr>
      </w:pPr>
      <w:r w:rsidRPr="00C945D1">
        <w:t>dopravní obslužnost v podobě dopravy osob i tras místní bezmotorové dopravy;</w:t>
      </w:r>
    </w:p>
    <w:p w:rsidR="00E72F7D" w:rsidRPr="00C945D1" w:rsidRDefault="00E72F7D" w:rsidP="00A60AC9">
      <w:pPr>
        <w:pStyle w:val="Odstavecseseznamem"/>
        <w:numPr>
          <w:ilvl w:val="0"/>
          <w:numId w:val="32"/>
        </w:numPr>
      </w:pPr>
      <w:r w:rsidRPr="00C945D1">
        <w:t>služby pro rodiče s dětmi, které podpoří soulad rodiny a práce a rozšíří výchovné vzdělávací nabídku v území;</w:t>
      </w:r>
    </w:p>
    <w:p w:rsidR="00E72F7D" w:rsidRPr="00C945D1" w:rsidRDefault="00E72F7D" w:rsidP="00A60AC9">
      <w:pPr>
        <w:pStyle w:val="Odstavecseseznamem"/>
        <w:numPr>
          <w:ilvl w:val="0"/>
          <w:numId w:val="32"/>
        </w:numPr>
      </w:pPr>
      <w:r w:rsidRPr="00C945D1">
        <w:t>informační a orientačně navigační opatření k usnadnění pohybu a hledání konkrétních cílů mezi obcemi i v nich samotných.</w:t>
      </w:r>
    </w:p>
    <w:p w:rsidR="00E72F7D" w:rsidRDefault="00E72F7D" w:rsidP="00C945D1">
      <w:r>
        <w:lastRenderedPageBreak/>
        <w:t>V konkrétních potřebách obyvatel může proveditelná forma integrace spojovat více okruhů. Především dopravní obslužnost a informační opatření budou spojovány s dalšími, neboť samy jsou jejich prostředníkem. Další integrační otázky budou pokládány ve vztahu obcí a měst. Malé obce budou vždy omezeny, neboť i v síti se součtem poptávky nemohou rovnat městům. Pro racionální udržitelnost je proto úkolem MAS, aby vždy testovala smysl integrace bez města oproti zlepšené spádovosti do města. Takové testování musí brát v potaz návaznosti pro udržitelnou místní ekonomiku, tj. navazující nákupy, útraty ve městě, které potom v obcích bolestně chy</w:t>
      </w:r>
      <w:r w:rsidR="00BD1AB0">
        <w:t>bí zdejším podnikům a provozům.</w:t>
      </w:r>
    </w:p>
    <w:p w:rsidR="00BD1AB0" w:rsidRDefault="00BD1AB0" w:rsidP="00BD1AB0">
      <w:pPr>
        <w:pStyle w:val="Nadpis4"/>
      </w:pPr>
      <w:r>
        <w:t>Dosavadní formy integrace</w:t>
      </w:r>
      <w:r w:rsidR="00FD3267">
        <w:t xml:space="preserve"> a integrační prvky</w:t>
      </w:r>
    </w:p>
    <w:p w:rsidR="00FA526A" w:rsidRDefault="00FA526A" w:rsidP="00FA526A">
      <w:r>
        <w:t>Níže jsou uvedené některé příklady integračn</w:t>
      </w:r>
      <w:r w:rsidR="00B510CB">
        <w:t xml:space="preserve">ích prvků a aktivit zahájených </w:t>
      </w:r>
      <w:r>
        <w:t>a</w:t>
      </w:r>
      <w:r w:rsidR="00B510CB">
        <w:t xml:space="preserve"> </w:t>
      </w:r>
      <w:r>
        <w:t>mnohdy dokončených v minulosti.</w:t>
      </w:r>
    </w:p>
    <w:p w:rsidR="00FA526A" w:rsidRDefault="00FA526A" w:rsidP="00A60AC9">
      <w:pPr>
        <w:pStyle w:val="Odstavecseseznamem"/>
        <w:numPr>
          <w:ilvl w:val="0"/>
          <w:numId w:val="52"/>
        </w:numPr>
      </w:pPr>
      <w:r>
        <w:t>Jedním z integračních prvků je turistický význam města Litomyšl, kdy Litomyšl i okolní obce vyvíjejí společné aktivity směřující k rozšíření turistiky i mimo Litomyšl a tím k prodloužení pobytu návštěvníků a k jejich přivedení do dalších obcí za účelem posílení místní slabé poptávky.</w:t>
      </w:r>
    </w:p>
    <w:p w:rsidR="00FA526A" w:rsidRPr="00FA526A" w:rsidRDefault="00FA526A" w:rsidP="00A60AC9">
      <w:pPr>
        <w:pStyle w:val="Odstavecseseznamem"/>
        <w:numPr>
          <w:ilvl w:val="0"/>
          <w:numId w:val="52"/>
        </w:numPr>
      </w:pPr>
      <w:r>
        <w:t>Dalším integračním prvkem jsou iniciativy směřující k využití turistického potenciálu přírodní památky Toulovcovy Maštale. Za tímto účelem v regionu působí Sdružení obcí Toulovcovy Maštale.</w:t>
      </w:r>
    </w:p>
    <w:p w:rsidR="00BD1AB0" w:rsidRPr="00AB2C93" w:rsidRDefault="00BD1AB0" w:rsidP="00AB2C93">
      <w:pPr>
        <w:pStyle w:val="Odstavecseseznamem"/>
        <w:ind w:left="720"/>
      </w:pPr>
      <w:r w:rsidRPr="00AB2C93">
        <w:t>Příkladem mohou být společně budované turistické stezky, cyklostezky a systémy informačních tabulí zasahující do správních území více obcí. Obce rovněž disponují například společně pořízeným vybavením pro pořádání společenských a kulturních akcí, které je obcím k dispozici k zapůjčení</w:t>
      </w:r>
      <w:r w:rsidR="00AB2C93">
        <w:t xml:space="preserve"> (v rámci mikroregionu Litomyšlsko)</w:t>
      </w:r>
      <w:r w:rsidRPr="00AB2C93">
        <w:t>.</w:t>
      </w:r>
    </w:p>
    <w:p w:rsidR="00BD1AB0" w:rsidRPr="00AB2C93" w:rsidRDefault="00BD1AB0" w:rsidP="00AB2C93">
      <w:pPr>
        <w:pStyle w:val="Odstavecseseznamem"/>
        <w:ind w:left="720"/>
      </w:pPr>
      <w:r w:rsidRPr="00AB2C93">
        <w:t>V rámci programu LEADER v rámci MAS Litomyšlsko o.p.s. bylo rovněž pořízeno vybavení pro vytvoření a údržbu lyžařských běžeckých tras, které rovněž vedou přes mnoho obcí.</w:t>
      </w:r>
    </w:p>
    <w:p w:rsidR="00BD1AB0" w:rsidRDefault="00BD1AB0" w:rsidP="00AB2C93">
      <w:pPr>
        <w:pStyle w:val="Odstavecseseznamem"/>
        <w:ind w:left="720"/>
      </w:pPr>
      <w:r w:rsidRPr="00AB2C93">
        <w:t>MAS Litomyšlsko o.p.s. rovněž zastřešila řadu projektů, které byly financovány z prostředku složených řadou obcí. Příkladem může být projekt „Naučné stezky MAS Litomyšlsko“, který jednotným a souhrnným způsobem informuje obyvatele i návštěvníky regionu o existujících naučných stezkách v regionu.</w:t>
      </w:r>
    </w:p>
    <w:p w:rsidR="00AB2C93" w:rsidRDefault="00AB2C93" w:rsidP="00A60AC9">
      <w:pPr>
        <w:pStyle w:val="Odstavecseseznamem"/>
        <w:numPr>
          <w:ilvl w:val="0"/>
          <w:numId w:val="52"/>
        </w:numPr>
      </w:pPr>
      <w:r>
        <w:lastRenderedPageBreak/>
        <w:t>Jinde se staly pojítkem přírodní podmínky. Obce na řece Loučné spolupracují na jednotné koncepci protipovodňových opatření.</w:t>
      </w:r>
    </w:p>
    <w:p w:rsidR="00BD722F" w:rsidRDefault="00BD722F" w:rsidP="00BD722F">
      <w:pPr>
        <w:pStyle w:val="Nadpis4"/>
      </w:pPr>
      <w:r>
        <w:t>Integrační aktivity a projekty MAS Litomyšlsko o.p.s.</w:t>
      </w:r>
    </w:p>
    <w:p w:rsidR="0058514C" w:rsidRDefault="0058514C" w:rsidP="0058514C">
      <w:r>
        <w:t>Mas jako subjekt sdružující subjekty z různých sektorů rovněž vyvíjela a vyvíjí řadu integračních aktivit.</w:t>
      </w:r>
    </w:p>
    <w:p w:rsidR="0058514C" w:rsidRPr="0058514C" w:rsidRDefault="0058514C" w:rsidP="0058514C">
      <w:r>
        <w:t>Pravidelně s měsíční periodicitou je vydáván plakát kulturních, vzdělávacích, sportovních a jiných akcí pořádaných obcemi, spolky, podnikateli... Plakát je distribuován do všech měst a obcí regionu, na veřejně přístupná místa, do informačních center apod.</w:t>
      </w:r>
    </w:p>
    <w:p w:rsidR="00BD722F" w:rsidRPr="00A90B14" w:rsidRDefault="00A90B14" w:rsidP="00BD722F">
      <w:r w:rsidRPr="00A90B14">
        <w:t xml:space="preserve">MAS rovněž pořádala seriál seminářů zaměřený na podporu finanční gramotnosti. Samotné semináře realizoval soukromý podnikatelský subjekt, </w:t>
      </w:r>
      <w:r>
        <w:t>prostory poskytla města a obce, ostatní obce pomáhaly s propagací. Na straně uživatelů byla pak široká veřejnost, školy, zástupci obcí ...</w:t>
      </w:r>
    </w:p>
    <w:p w:rsidR="00A90B14" w:rsidRDefault="00A90B14" w:rsidP="00BD722F">
      <w:r>
        <w:t>V roce 2013 MAS zastřešila projekt, který měl sloužit k souhrnné propagaci naučných stezek v regionu. Zastřešil tedy provozovatele naučných stezek, sponzorské obce a všechny ostatní obce v regionu, které pomohly s umístěním propagačních tabulí a distribucí propagačních materiálů.</w:t>
      </w:r>
    </w:p>
    <w:p w:rsidR="003606B6" w:rsidRPr="00A90B14" w:rsidRDefault="003606B6" w:rsidP="00BD722F">
      <w:r w:rsidRPr="00A90B14">
        <w:t xml:space="preserve">MAS </w:t>
      </w:r>
      <w:r w:rsidR="00A90B14">
        <w:t>také pro děti z mateřských škol pořádala soutěž s mnoha integračními prvky hovorově zvanou „Skřítek Vítek“. Na straně sponzorů byl zapojen soukromý podnikatelský subjekt. Na druhé na druhé straně byly zapojeny mateřské školy a jejich děti jako soutěžící a nakonec byla zapojena široká veřejnost, která svým hlasováním vybírala vítěze. Tato zkušenost pomohla navázat úzké vztahy i novou spolupráci.</w:t>
      </w:r>
    </w:p>
    <w:p w:rsidR="00BD722F" w:rsidRPr="00AC0536" w:rsidRDefault="003606B6" w:rsidP="00BD722F">
      <w:r>
        <w:t>MAS hodlá v následujících letech také podpořit nebo zastřešit spolupráci zemědělských subjektů v oblasti distribuce, prodeje a propagace jejich produkce. Dále hodlá zastřešit informační a administr</w:t>
      </w:r>
      <w:r w:rsidR="00B510CB">
        <w:t>ativní podporu</w:t>
      </w:r>
      <w:r>
        <w:t xml:space="preserve"> obcí.</w:t>
      </w:r>
    </w:p>
    <w:p w:rsidR="00E72F7D" w:rsidRDefault="00E72F7D" w:rsidP="00E72F7D">
      <w:pPr>
        <w:rPr>
          <w:rFonts w:ascii="Arial" w:hAnsi="Arial" w:cs="Arial"/>
        </w:rPr>
      </w:pPr>
    </w:p>
    <w:p w:rsidR="00C945D1" w:rsidRDefault="00C945D1" w:rsidP="00C945D1">
      <w:pPr>
        <w:pStyle w:val="Nadpis3"/>
      </w:pPr>
      <w:bookmarkStart w:id="65" w:name="_Toc430006535"/>
      <w:r>
        <w:t xml:space="preserve">Integrace mimo </w:t>
      </w:r>
      <w:r w:rsidR="00BD722F">
        <w:t>přesahující region</w:t>
      </w:r>
      <w:bookmarkEnd w:id="65"/>
    </w:p>
    <w:p w:rsidR="00E72F7D" w:rsidRPr="000A74F1" w:rsidRDefault="00E72F7D" w:rsidP="00C945D1">
      <w:r>
        <w:t xml:space="preserve">Integrace potřeb regionu se sousedními nebo v nadřazených systémech by mohla mít v novém období inovativní podoby. Není sporu o sociálních a hospodářských důvodech kompetencí národních a krajských politik. Přitom ale nemusí region zůstávat pasivním </w:t>
      </w:r>
      <w:r>
        <w:lastRenderedPageBreak/>
        <w:t xml:space="preserve">příjemcem jejich účinků. Také individuální interakce obcí s takovými politikami a programy mají značné omezení. Pro MAS z toho plyne trvalý úkol hledání vlastních regionálních pozic, jak účinněji využívat vhodné části </w:t>
      </w:r>
      <w:r w:rsidRPr="000A74F1">
        <w:t xml:space="preserve">nadřazených systémů. Určitě existují prostory, ve kterých bude možné propojit okruhy předchozí části 3.7.1 </w:t>
      </w:r>
      <w:r w:rsidR="001E525D" w:rsidRPr="000A74F1">
        <w:t xml:space="preserve">Integrace v regionu MAS </w:t>
      </w:r>
      <w:r w:rsidRPr="000A74F1">
        <w:t xml:space="preserve">s programy krajského systému sociálních služeb, dopravní obslužnosti nebo ústředně organizovaných podob zaměstnanecké a podnikatelské podpory a dalších. </w:t>
      </w:r>
    </w:p>
    <w:p w:rsidR="00E72F7D" w:rsidRDefault="00E72F7D" w:rsidP="00BD1AB0">
      <w:r w:rsidRPr="000A74F1">
        <w:t>Zvláštní příležitosti k integraci mohou nabízet programy sousedních regionů nebo sdružení, která se s  územím</w:t>
      </w:r>
      <w:r w:rsidR="00464FCF">
        <w:t xml:space="preserve"> MAS</w:t>
      </w:r>
      <w:r w:rsidRPr="000A74F1">
        <w:t xml:space="preserve"> překrývají, jak dokládá </w:t>
      </w:r>
      <w:r w:rsidR="001E525D" w:rsidRPr="000A74F1">
        <w:t>7.3.2.2</w:t>
      </w:r>
      <w:r w:rsidR="000A74F1">
        <w:t xml:space="preserve"> Integrace obcí</w:t>
      </w:r>
      <w:r w:rsidRPr="000A74F1">
        <w:t>. V tomto směru leží jistě prostor, který by v samotném našem regionu nebyl trvale dostatečně kapacitní a vůči národní úrovni byl naopak pod praktickou hranou adresnosti. Přitom nebude</w:t>
      </w:r>
      <w:r>
        <w:t xml:space="preserve"> úkolem MAS jen množina vyjmenovaných sdružení a spolků. Podobně může být příležitostí také potřeba jednotlivých korporací řešit své záměry. Část takových záměrů se může dobře potkat se schopností regionu definovat své potřeby a prakticky organizovat dělbu činností s danou korporací. V tom bude trvalý strategický zájem MAS inovativně rozšiřovat kvalitu a nabídku životního prostředí místním obyvatelům v souladu s novými impulsy zvenčí.</w:t>
      </w:r>
    </w:p>
    <w:p w:rsidR="000206A1" w:rsidRDefault="000206A1" w:rsidP="000206A1">
      <w:pPr>
        <w:pStyle w:val="Nadpis4"/>
      </w:pPr>
      <w:r>
        <w:t>Spolupráce mezi MAS</w:t>
      </w:r>
    </w:p>
    <w:p w:rsidR="00ED24B0" w:rsidRPr="00ED24B0" w:rsidRDefault="00ED24B0" w:rsidP="000206A1">
      <w:r w:rsidRPr="00ED24B0">
        <w:t>Spolupráce mezi jednotlivými MAS se odvíjí zpravidla od společných propojujících prvků. Tyto prvky mohou být přírodní, historické, ekonomické, organizační...</w:t>
      </w:r>
    </w:p>
    <w:p w:rsidR="000206A1" w:rsidRDefault="00ED24B0" w:rsidP="000206A1">
      <w:r w:rsidRPr="00ED24B0">
        <w:t>V případě MAS Litomyšlsko se jedná zejména o řešení skutečnosti, že zasahuje do více správních obvodů ORP a území mikroregionů. Z dosavadní komunikace vyplynula potřeba inte</w:t>
      </w:r>
      <w:r w:rsidR="00464FCF">
        <w:t>g</w:t>
      </w:r>
      <w:r w:rsidRPr="00ED24B0">
        <w:t xml:space="preserve">race činností zejména s dalšími MAS, které se působí v rámci správního obvodu ROP Vysoké Mýto a v mikroregionu Vysokomýtsko. V tuto chvíli vyvstává potřeba jednotného konceptu </w:t>
      </w:r>
      <w:r w:rsidR="000206A1" w:rsidRPr="00ED24B0">
        <w:t>zejména v oblasti sociálních služeb</w:t>
      </w:r>
      <w:r w:rsidRPr="00ED24B0">
        <w:t xml:space="preserve"> a jejich podpory, ale do budoucna se předpokládá úzká spolupráce i v dalších oblastech</w:t>
      </w:r>
      <w:r w:rsidR="000206A1" w:rsidRPr="00ED24B0">
        <w:t>.</w:t>
      </w:r>
    </w:p>
    <w:p w:rsidR="000206A1" w:rsidRDefault="000206A1" w:rsidP="000206A1">
      <w:pPr>
        <w:pStyle w:val="Nadpis4"/>
      </w:pPr>
      <w:r>
        <w:t xml:space="preserve">Integrace </w:t>
      </w:r>
      <w:r w:rsidR="000A74F1">
        <w:t>obcí</w:t>
      </w:r>
    </w:p>
    <w:p w:rsidR="001E525D" w:rsidRPr="001E525D" w:rsidRDefault="001E525D" w:rsidP="001E525D">
      <w:r>
        <w:t>Obce v regionu aktivně navazují spolupráci, a to mimo jiné začleňováním do obecných n</w:t>
      </w:r>
      <w:r w:rsidR="00464FCF">
        <w:t>ebo úzce zaměřených svazků obcí.</w:t>
      </w:r>
      <w:r>
        <w:t xml:space="preserve"> Území MAS se dotýkají následující (barevně označené jsou součástí MAS Litomyšlsko).</w:t>
      </w:r>
    </w:p>
    <w:p w:rsidR="000206A1" w:rsidRPr="00576A72"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 xml:space="preserve">Mikroregion Hlinecko </w:t>
      </w:r>
      <w:r w:rsidRPr="00576A72">
        <w:rPr>
          <w:rFonts w:ascii="Arial Unicode MS" w:eastAsia="Arial Unicode MS" w:hAnsi="Arial Unicode MS" w:cs="Arial Unicode MS"/>
          <w:sz w:val="22"/>
          <w:szCs w:val="22"/>
        </w:rPr>
        <w:t xml:space="preserve">– Bojanov, Dědová, Hamry, Hlinsko, Hodonín, Horní Bradlo, Chlumětín, Jeníkov, Kameničky, Kladno, Krásné, Krouna, Miřetice, Mrákotín, </w:t>
      </w:r>
      <w:r w:rsidRPr="00576A72">
        <w:rPr>
          <w:rFonts w:ascii="Arial Unicode MS" w:eastAsia="Arial Unicode MS" w:hAnsi="Arial Unicode MS" w:cs="Arial Unicode MS"/>
          <w:color w:val="92D050"/>
          <w:sz w:val="22"/>
          <w:szCs w:val="22"/>
        </w:rPr>
        <w:lastRenderedPageBreak/>
        <w:t>Otradov</w:t>
      </w:r>
      <w:r w:rsidRPr="00576A72">
        <w:rPr>
          <w:rFonts w:ascii="Arial Unicode MS" w:eastAsia="Arial Unicode MS" w:hAnsi="Arial Unicode MS" w:cs="Arial Unicode MS"/>
          <w:sz w:val="22"/>
          <w:szCs w:val="22"/>
        </w:rPr>
        <w:t>, Pokřikov, Raná, Studnice, Svratouch, Tisovec</w:t>
      </w:r>
      <w:r w:rsidR="001C32DB" w:rsidRPr="00576A72">
        <w:rPr>
          <w:rFonts w:ascii="Arial Unicode MS" w:eastAsia="Arial Unicode MS" w:hAnsi="Arial Unicode MS" w:cs="Arial Unicode MS"/>
          <w:sz w:val="22"/>
          <w:szCs w:val="22"/>
        </w:rPr>
        <w:t>,</w:t>
      </w:r>
      <w:r w:rsidRPr="00576A72">
        <w:rPr>
          <w:rFonts w:ascii="Arial Unicode MS" w:eastAsia="Arial Unicode MS" w:hAnsi="Arial Unicode MS" w:cs="Arial Unicode MS"/>
          <w:sz w:val="22"/>
          <w:szCs w:val="22"/>
        </w:rPr>
        <w:t xml:space="preserve"> Trhová Kamenice, Včelákov, Vítanov, Vojtěchov, Vortová, Všeradov, Vysočina </w:t>
      </w:r>
    </w:p>
    <w:p w:rsidR="000206A1" w:rsidRPr="00576A72"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 xml:space="preserve">Mikroregion Vysokomýtsko </w:t>
      </w:r>
      <w:r w:rsidRPr="00576A72">
        <w:rPr>
          <w:rFonts w:ascii="Arial Unicode MS" w:eastAsia="Arial Unicode MS" w:hAnsi="Arial Unicode MS" w:cs="Arial Unicode MS"/>
          <w:sz w:val="22"/>
          <w:szCs w:val="22"/>
        </w:rPr>
        <w:t xml:space="preserve">- Běstovice, </w:t>
      </w:r>
      <w:r w:rsidRPr="00576A72">
        <w:rPr>
          <w:rFonts w:ascii="Arial Unicode MS" w:eastAsia="Arial Unicode MS" w:hAnsi="Arial Unicode MS" w:cs="Arial Unicode MS"/>
          <w:color w:val="92D050"/>
          <w:sz w:val="22"/>
          <w:szCs w:val="22"/>
        </w:rPr>
        <w:t>Bučina, České Heřmanice</w:t>
      </w:r>
      <w:r w:rsidRPr="00576A72">
        <w:rPr>
          <w:rFonts w:ascii="Arial Unicode MS" w:eastAsia="Arial Unicode MS" w:hAnsi="Arial Unicode MS" w:cs="Arial Unicode MS"/>
          <w:sz w:val="22"/>
          <w:szCs w:val="22"/>
        </w:rPr>
        <w:t xml:space="preserve">, Dobříkov, Džbánov, </w:t>
      </w:r>
      <w:r w:rsidRPr="00576A72">
        <w:rPr>
          <w:rFonts w:ascii="Arial Unicode MS" w:eastAsia="Arial Unicode MS" w:hAnsi="Arial Unicode MS" w:cs="Arial Unicode MS"/>
          <w:color w:val="92D050"/>
          <w:sz w:val="22"/>
          <w:szCs w:val="22"/>
        </w:rPr>
        <w:t>Javorník</w:t>
      </w:r>
      <w:r w:rsidRPr="00576A72">
        <w:rPr>
          <w:rFonts w:ascii="Arial Unicode MS" w:eastAsia="Arial Unicode MS" w:hAnsi="Arial Unicode MS" w:cs="Arial Unicode MS"/>
          <w:sz w:val="22"/>
          <w:szCs w:val="22"/>
        </w:rPr>
        <w:t xml:space="preserve">, Koldín, </w:t>
      </w:r>
      <w:r w:rsidRPr="00576A72">
        <w:rPr>
          <w:rFonts w:ascii="Arial Unicode MS" w:eastAsia="Arial Unicode MS" w:hAnsi="Arial Unicode MS" w:cs="Arial Unicode MS"/>
          <w:color w:val="92D050"/>
          <w:sz w:val="22"/>
          <w:szCs w:val="22"/>
        </w:rPr>
        <w:t>Leština</w:t>
      </w:r>
      <w:r w:rsidRPr="00576A72">
        <w:rPr>
          <w:rFonts w:ascii="Arial Unicode MS" w:eastAsia="Arial Unicode MS" w:hAnsi="Arial Unicode MS" w:cs="Arial Unicode MS"/>
          <w:sz w:val="22"/>
          <w:szCs w:val="22"/>
        </w:rPr>
        <w:t xml:space="preserve">, Mostek, Nasavrky, </w:t>
      </w:r>
      <w:r w:rsidRPr="00576A72">
        <w:rPr>
          <w:rFonts w:ascii="Arial Unicode MS" w:eastAsia="Arial Unicode MS" w:hAnsi="Arial Unicode MS" w:cs="Arial Unicode MS"/>
          <w:color w:val="92D050"/>
          <w:sz w:val="22"/>
          <w:szCs w:val="22"/>
        </w:rPr>
        <w:t>Nové Hrady</w:t>
      </w:r>
      <w:r w:rsidRPr="00576A72">
        <w:rPr>
          <w:rFonts w:ascii="Arial Unicode MS" w:eastAsia="Arial Unicode MS" w:hAnsi="Arial Unicode MS" w:cs="Arial Unicode MS"/>
          <w:sz w:val="22"/>
          <w:szCs w:val="22"/>
        </w:rPr>
        <w:t xml:space="preserve">, Oucmanice, Podlesí, </w:t>
      </w:r>
      <w:r w:rsidRPr="00576A72">
        <w:rPr>
          <w:rFonts w:ascii="Arial Unicode MS" w:eastAsia="Arial Unicode MS" w:hAnsi="Arial Unicode MS" w:cs="Arial Unicode MS"/>
          <w:color w:val="92D050"/>
          <w:sz w:val="22"/>
          <w:szCs w:val="22"/>
        </w:rPr>
        <w:t>Pustina</w:t>
      </w:r>
      <w:r w:rsidRPr="00576A72">
        <w:rPr>
          <w:rFonts w:ascii="Arial Unicode MS" w:eastAsia="Arial Unicode MS" w:hAnsi="Arial Unicode MS" w:cs="Arial Unicode MS"/>
          <w:sz w:val="22"/>
          <w:szCs w:val="22"/>
        </w:rPr>
        <w:t xml:space="preserve">, Radhošť, Slatina, Sruby, Sudslava, Svatý Jiří, </w:t>
      </w:r>
      <w:r w:rsidRPr="00576A72">
        <w:rPr>
          <w:rFonts w:ascii="Arial Unicode MS" w:eastAsia="Arial Unicode MS" w:hAnsi="Arial Unicode MS" w:cs="Arial Unicode MS"/>
          <w:color w:val="92D050"/>
          <w:sz w:val="22"/>
          <w:szCs w:val="22"/>
        </w:rPr>
        <w:t>Tisová</w:t>
      </w:r>
      <w:r w:rsidRPr="00576A72">
        <w:rPr>
          <w:rFonts w:ascii="Arial Unicode MS" w:eastAsia="Arial Unicode MS" w:hAnsi="Arial Unicode MS" w:cs="Arial Unicode MS"/>
          <w:sz w:val="22"/>
          <w:szCs w:val="22"/>
        </w:rPr>
        <w:t xml:space="preserve">, Týnišťko, Vinary, Vraclav, </w:t>
      </w:r>
      <w:r w:rsidRPr="00576A72">
        <w:rPr>
          <w:rFonts w:ascii="Arial Unicode MS" w:eastAsia="Arial Unicode MS" w:hAnsi="Arial Unicode MS" w:cs="Arial Unicode MS"/>
          <w:color w:val="92D050"/>
          <w:sz w:val="22"/>
          <w:szCs w:val="22"/>
        </w:rPr>
        <w:t>Vračovice-Orlov</w:t>
      </w:r>
      <w:r w:rsidRPr="00576A72">
        <w:rPr>
          <w:rFonts w:ascii="Arial Unicode MS" w:eastAsia="Arial Unicode MS" w:hAnsi="Arial Unicode MS" w:cs="Arial Unicode MS"/>
          <w:sz w:val="22"/>
          <w:szCs w:val="22"/>
        </w:rPr>
        <w:t xml:space="preserve">, </w:t>
      </w:r>
      <w:r w:rsidRPr="00576A72">
        <w:rPr>
          <w:rFonts w:ascii="Arial Unicode MS" w:eastAsia="Arial Unicode MS" w:hAnsi="Arial Unicode MS" w:cs="Arial Unicode MS"/>
          <w:color w:val="92D050"/>
          <w:sz w:val="22"/>
          <w:szCs w:val="22"/>
        </w:rPr>
        <w:t>Vysoké Mýto</w:t>
      </w:r>
      <w:r w:rsidRPr="00576A72">
        <w:rPr>
          <w:rFonts w:ascii="Arial Unicode MS" w:eastAsia="Arial Unicode MS" w:hAnsi="Arial Unicode MS" w:cs="Arial Unicode MS"/>
          <w:sz w:val="22"/>
          <w:szCs w:val="22"/>
        </w:rPr>
        <w:t xml:space="preserve">, </w:t>
      </w:r>
      <w:r w:rsidRPr="00576A72">
        <w:rPr>
          <w:rFonts w:ascii="Arial Unicode MS" w:eastAsia="Arial Unicode MS" w:hAnsi="Arial Unicode MS" w:cs="Arial Unicode MS"/>
          <w:color w:val="92D050"/>
          <w:sz w:val="22"/>
          <w:szCs w:val="22"/>
        </w:rPr>
        <w:t>Zálší</w:t>
      </w:r>
      <w:r w:rsidRPr="00576A72">
        <w:rPr>
          <w:rFonts w:ascii="Arial Unicode MS" w:eastAsia="Arial Unicode MS" w:hAnsi="Arial Unicode MS" w:cs="Arial Unicode MS"/>
          <w:sz w:val="22"/>
          <w:szCs w:val="22"/>
        </w:rPr>
        <w:t xml:space="preserve">, Zámrsk a Zářecká Lhota </w:t>
      </w:r>
    </w:p>
    <w:p w:rsidR="000206A1" w:rsidRPr="00576A72"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Kraj Smetany a Martinů</w:t>
      </w:r>
      <w:r w:rsidRPr="00576A72">
        <w:rPr>
          <w:rFonts w:ascii="Arial Unicode MS" w:eastAsia="Arial Unicode MS" w:hAnsi="Arial Unicode MS" w:cs="Arial Unicode MS"/>
          <w:sz w:val="22"/>
          <w:szCs w:val="22"/>
        </w:rPr>
        <w:t xml:space="preserve"> – Borová, Bystré, Polička, </w:t>
      </w:r>
      <w:r w:rsidRPr="00576A72">
        <w:rPr>
          <w:rFonts w:ascii="Arial Unicode MS" w:eastAsia="Arial Unicode MS" w:hAnsi="Arial Unicode MS" w:cs="Arial Unicode MS"/>
          <w:color w:val="92D050"/>
          <w:sz w:val="22"/>
          <w:szCs w:val="22"/>
        </w:rPr>
        <w:t>Litomyšl, Dolní Újezd</w:t>
      </w:r>
      <w:r w:rsidRPr="00576A72">
        <w:rPr>
          <w:rFonts w:ascii="Arial Unicode MS" w:eastAsia="Arial Unicode MS" w:hAnsi="Arial Unicode MS" w:cs="Arial Unicode MS"/>
          <w:sz w:val="22"/>
          <w:szCs w:val="22"/>
        </w:rPr>
        <w:t xml:space="preserve">, Jedlová, Květná, </w:t>
      </w:r>
      <w:r w:rsidRPr="00576A72">
        <w:rPr>
          <w:rFonts w:ascii="Arial Unicode MS" w:eastAsia="Arial Unicode MS" w:hAnsi="Arial Unicode MS" w:cs="Arial Unicode MS"/>
          <w:color w:val="92D050"/>
          <w:sz w:val="22"/>
          <w:szCs w:val="22"/>
        </w:rPr>
        <w:t xml:space="preserve">Lubná, </w:t>
      </w:r>
      <w:r w:rsidRPr="00576A72">
        <w:rPr>
          <w:rFonts w:ascii="Arial Unicode MS" w:eastAsia="Arial Unicode MS" w:hAnsi="Arial Unicode MS" w:cs="Arial Unicode MS"/>
          <w:sz w:val="22"/>
          <w:szCs w:val="22"/>
        </w:rPr>
        <w:t xml:space="preserve">Oldřiš, Pomezí, </w:t>
      </w:r>
      <w:r w:rsidRPr="00576A72">
        <w:rPr>
          <w:rFonts w:ascii="Arial Unicode MS" w:eastAsia="Arial Unicode MS" w:hAnsi="Arial Unicode MS" w:cs="Arial Unicode MS"/>
          <w:color w:val="92D050"/>
          <w:sz w:val="22"/>
          <w:szCs w:val="22"/>
        </w:rPr>
        <w:t>Sebranice</w:t>
      </w:r>
      <w:r w:rsidRPr="00576A72">
        <w:rPr>
          <w:rFonts w:ascii="Arial Unicode MS" w:eastAsia="Arial Unicode MS" w:hAnsi="Arial Unicode MS" w:cs="Arial Unicode MS"/>
          <w:sz w:val="22"/>
          <w:szCs w:val="22"/>
        </w:rPr>
        <w:t>, Svojanov, Široký Důl, Telecí</w:t>
      </w:r>
    </w:p>
    <w:p w:rsidR="000206A1" w:rsidRPr="00576A72"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Českomoravské pomezí</w:t>
      </w:r>
      <w:r w:rsidRPr="00576A72">
        <w:rPr>
          <w:rFonts w:ascii="Arial Unicode MS" w:eastAsia="Arial Unicode MS" w:hAnsi="Arial Unicode MS" w:cs="Arial Unicode MS"/>
          <w:sz w:val="22"/>
          <w:szCs w:val="22"/>
        </w:rPr>
        <w:t xml:space="preserve"> - </w:t>
      </w:r>
      <w:r w:rsidRPr="00576A72">
        <w:rPr>
          <w:rFonts w:ascii="Arial Unicode MS" w:eastAsia="Arial Unicode MS" w:hAnsi="Arial Unicode MS" w:cs="Arial Unicode MS"/>
          <w:color w:val="92D050"/>
          <w:sz w:val="22"/>
          <w:szCs w:val="22"/>
        </w:rPr>
        <w:t xml:space="preserve">Litomyšl, </w:t>
      </w:r>
      <w:r w:rsidRPr="00576A72">
        <w:rPr>
          <w:rFonts w:ascii="Arial Unicode MS" w:eastAsia="Arial Unicode MS" w:hAnsi="Arial Unicode MS" w:cs="Arial Unicode MS"/>
          <w:sz w:val="22"/>
          <w:szCs w:val="22"/>
        </w:rPr>
        <w:t xml:space="preserve">Moravská Třebová, Polička, Svitavy, </w:t>
      </w:r>
      <w:r w:rsidRPr="00576A72">
        <w:rPr>
          <w:rFonts w:ascii="Arial Unicode MS" w:eastAsia="Arial Unicode MS" w:hAnsi="Arial Unicode MS" w:cs="Arial Unicode MS"/>
          <w:color w:val="92D050"/>
          <w:sz w:val="22"/>
          <w:szCs w:val="22"/>
        </w:rPr>
        <w:t>Vysoké Mýto</w:t>
      </w:r>
      <w:r w:rsidRPr="00576A72">
        <w:rPr>
          <w:rFonts w:ascii="Arial Unicode MS" w:eastAsia="Arial Unicode MS" w:hAnsi="Arial Unicode MS" w:cs="Arial Unicode MS"/>
          <w:sz w:val="22"/>
          <w:szCs w:val="22"/>
        </w:rPr>
        <w:t xml:space="preserve"> </w:t>
      </w:r>
    </w:p>
    <w:p w:rsidR="000206A1"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České dědictví</w:t>
      </w:r>
      <w:r w:rsidRPr="00576A72">
        <w:rPr>
          <w:rFonts w:ascii="Arial Unicode MS" w:eastAsia="Arial Unicode MS" w:hAnsi="Arial Unicode MS" w:cs="Arial Unicode MS"/>
          <w:sz w:val="22"/>
          <w:szCs w:val="22"/>
        </w:rPr>
        <w:t xml:space="preserve"> - Český Krumlov, Jankov, Kroměříž, Kutná Hora, Lednice, Valtice, </w:t>
      </w:r>
      <w:r w:rsidRPr="00576A72">
        <w:rPr>
          <w:rFonts w:ascii="Arial Unicode MS" w:eastAsia="Arial Unicode MS" w:hAnsi="Arial Unicode MS" w:cs="Arial Unicode MS"/>
          <w:color w:val="92D050"/>
          <w:sz w:val="22"/>
          <w:szCs w:val="22"/>
        </w:rPr>
        <w:t>Litomyšl</w:t>
      </w:r>
      <w:r w:rsidRPr="00576A72">
        <w:rPr>
          <w:rFonts w:ascii="Arial Unicode MS" w:eastAsia="Arial Unicode MS" w:hAnsi="Arial Unicode MS" w:cs="Arial Unicode MS"/>
          <w:sz w:val="22"/>
          <w:szCs w:val="22"/>
        </w:rPr>
        <w:t xml:space="preserve">, Olomouc, Telč, Žďár nad Sázavou, Brno, Třebíč </w:t>
      </w:r>
    </w:p>
    <w:p w:rsidR="000206A1" w:rsidRPr="00AC3787" w:rsidRDefault="000206A1" w:rsidP="00963652">
      <w:pPr>
        <w:pStyle w:val="Normlnweb"/>
        <w:numPr>
          <w:ilvl w:val="0"/>
          <w:numId w:val="6"/>
        </w:numPr>
        <w:jc w:val="both"/>
        <w:rPr>
          <w:rFonts w:ascii="Arial Unicode MS" w:eastAsia="Arial Unicode MS" w:hAnsi="Arial Unicode MS" w:cs="Arial Unicode MS"/>
          <w:sz w:val="22"/>
          <w:szCs w:val="22"/>
        </w:rPr>
      </w:pPr>
      <w:r w:rsidRPr="00AC3787">
        <w:rPr>
          <w:rFonts w:ascii="Arial Unicode MS" w:eastAsia="Arial Unicode MS" w:hAnsi="Arial Unicode MS" w:cs="Arial Unicode MS"/>
          <w:b/>
          <w:bCs/>
          <w:sz w:val="22"/>
          <w:szCs w:val="22"/>
        </w:rPr>
        <w:t>Sdružení obcí Toulovcovy Maštale</w:t>
      </w:r>
      <w:r w:rsidRPr="00AC3787">
        <w:rPr>
          <w:rFonts w:ascii="Arial Unicode MS" w:eastAsia="Arial Unicode MS" w:hAnsi="Arial Unicode MS" w:cs="Arial Unicode MS"/>
          <w:sz w:val="22"/>
          <w:szCs w:val="22"/>
        </w:rPr>
        <w:t xml:space="preserve"> – </w:t>
      </w:r>
      <w:r w:rsidRPr="00AC3787">
        <w:rPr>
          <w:rFonts w:ascii="Arial Unicode MS" w:eastAsia="Arial Unicode MS" w:hAnsi="Arial Unicode MS" w:cs="Arial Unicode MS"/>
          <w:color w:val="92D050"/>
          <w:sz w:val="22"/>
          <w:szCs w:val="22"/>
        </w:rPr>
        <w:t>Bor u Skutče, Budislav, Hluboká, Jarošov, Leština, Nová Ves u Jarošova, Nové Hrady, Perálec, Poříčí u Litomyšle, Proseč, Příluka, Zderaz</w:t>
      </w:r>
    </w:p>
    <w:p w:rsidR="00AC3787" w:rsidRDefault="000206A1" w:rsidP="00963652">
      <w:pPr>
        <w:pStyle w:val="Normlnweb"/>
        <w:numPr>
          <w:ilvl w:val="0"/>
          <w:numId w:val="6"/>
        </w:numPr>
        <w:jc w:val="both"/>
        <w:rPr>
          <w:rFonts w:ascii="Arial Unicode MS" w:eastAsia="Arial Unicode MS" w:hAnsi="Arial Unicode MS" w:cs="Arial Unicode MS"/>
          <w:sz w:val="22"/>
          <w:szCs w:val="22"/>
        </w:rPr>
      </w:pPr>
      <w:r w:rsidRPr="00576A72">
        <w:rPr>
          <w:rFonts w:ascii="Arial Unicode MS" w:eastAsia="Arial Unicode MS" w:hAnsi="Arial Unicode MS" w:cs="Arial Unicode MS"/>
          <w:b/>
          <w:bCs/>
          <w:sz w:val="22"/>
          <w:szCs w:val="22"/>
        </w:rPr>
        <w:t xml:space="preserve">Region Orlicko–Třebovsko </w:t>
      </w:r>
      <w:r w:rsidRPr="00576A72">
        <w:rPr>
          <w:rFonts w:ascii="Arial Unicode MS" w:eastAsia="Arial Unicode MS" w:hAnsi="Arial Unicode MS" w:cs="Arial Unicode MS"/>
          <w:sz w:val="22"/>
          <w:szCs w:val="22"/>
        </w:rPr>
        <w:t>– Brandýs nad Orlicí, Česká Třebová, České Libchavy, Dlouhá Třebová, Dolní Dobrouč, Hnátnice, Hrádek, Jehnědí, Libchavy, Němčice, Orlické Podhůří, Přívrat, Rybník, Řetová, Řetůvka, Semanín, Sloupnice, Sopotnice, Sudislav nad Orlicí, Třebovice, Ústí nad Orlicí, Velká Skrovnice, Voděrady, Žampach</w:t>
      </w:r>
    </w:p>
    <w:p w:rsidR="000206A1" w:rsidRPr="00AC3787" w:rsidRDefault="000206A1" w:rsidP="00963652">
      <w:pPr>
        <w:pStyle w:val="Normlnweb"/>
        <w:numPr>
          <w:ilvl w:val="0"/>
          <w:numId w:val="6"/>
        </w:numPr>
        <w:jc w:val="both"/>
        <w:rPr>
          <w:rFonts w:ascii="Arial Unicode MS" w:eastAsia="Arial Unicode MS" w:hAnsi="Arial Unicode MS" w:cs="Arial Unicode MS"/>
          <w:sz w:val="22"/>
          <w:szCs w:val="22"/>
        </w:rPr>
      </w:pPr>
      <w:r w:rsidRPr="00AC3787">
        <w:rPr>
          <w:rFonts w:ascii="Arial Unicode MS" w:eastAsia="Arial Unicode MS" w:hAnsi="Arial Unicode MS" w:cs="Arial Unicode MS"/>
          <w:b/>
          <w:bCs/>
          <w:sz w:val="22"/>
          <w:szCs w:val="22"/>
        </w:rPr>
        <w:t>Mikroregion Litomyšlsko-Desinka</w:t>
      </w:r>
      <w:r w:rsidRPr="00AC3787">
        <w:rPr>
          <w:rFonts w:ascii="Arial Unicode MS" w:eastAsia="Arial Unicode MS" w:hAnsi="Arial Unicode MS" w:cs="Arial Unicode MS"/>
          <w:sz w:val="22"/>
          <w:szCs w:val="22"/>
        </w:rPr>
        <w:t xml:space="preserve"> – </w:t>
      </w:r>
      <w:r w:rsidRPr="00AC3787">
        <w:rPr>
          <w:rFonts w:ascii="Arial Unicode MS" w:eastAsia="Arial Unicode MS" w:hAnsi="Arial Unicode MS" w:cs="Arial Unicode MS"/>
          <w:color w:val="92D050"/>
          <w:sz w:val="22"/>
          <w:szCs w:val="22"/>
        </w:rPr>
        <w:t xml:space="preserve">Budislav, Desná, Dolní Újezd, Horní Újezd, Chotěnov, Lubná, Makov, Morašice, Osík, Poříčí u Litomyšle, Sebranice, </w:t>
      </w:r>
      <w:r w:rsidRPr="00AC3787">
        <w:rPr>
          <w:rFonts w:ascii="Arial Unicode MS" w:eastAsia="Arial Unicode MS" w:hAnsi="Arial Unicode MS" w:cs="Arial Unicode MS"/>
          <w:sz w:val="22"/>
          <w:szCs w:val="22"/>
        </w:rPr>
        <w:t>Široký Důl,</w:t>
      </w:r>
      <w:r w:rsidRPr="00AC3787">
        <w:rPr>
          <w:rFonts w:ascii="Arial Unicode MS" w:eastAsia="Arial Unicode MS" w:hAnsi="Arial Unicode MS" w:cs="Arial Unicode MS"/>
          <w:color w:val="92D050"/>
          <w:sz w:val="22"/>
          <w:szCs w:val="22"/>
        </w:rPr>
        <w:t xml:space="preserve"> Vidlatá Seč</w:t>
      </w:r>
    </w:p>
    <w:p w:rsidR="000206A1" w:rsidRDefault="00576A72" w:rsidP="001E525D">
      <w:pPr>
        <w:spacing w:after="119"/>
      </w:pPr>
      <w:r>
        <w:t>Níže uvedená tabulka zobrazuje vzájemné provázání dobrovolných svazků obcí a MAS Litomyšlsko (počet obcí MAS, svazku obcí a společné obce).</w:t>
      </w:r>
    </w:p>
    <w:tbl>
      <w:tblPr>
        <w:tblW w:w="6120" w:type="dxa"/>
        <w:jc w:val="center"/>
        <w:tblInd w:w="55" w:type="dxa"/>
        <w:tblCellMar>
          <w:left w:w="70" w:type="dxa"/>
          <w:right w:w="70" w:type="dxa"/>
        </w:tblCellMar>
        <w:tblLook w:val="04A0"/>
      </w:tblPr>
      <w:tblGrid>
        <w:gridCol w:w="3240"/>
        <w:gridCol w:w="960"/>
        <w:gridCol w:w="960"/>
        <w:gridCol w:w="960"/>
      </w:tblGrid>
      <w:tr w:rsidR="00B111E0" w:rsidRPr="00B111E0" w:rsidTr="00576A72">
        <w:trPr>
          <w:trHeight w:val="300"/>
          <w:jc w:val="center"/>
        </w:trPr>
        <w:tc>
          <w:tcPr>
            <w:tcW w:w="3240" w:type="dxa"/>
            <w:vMerge w:val="restart"/>
            <w:tcBorders>
              <w:top w:val="nil"/>
              <w:left w:val="nil"/>
              <w:bottom w:val="nil"/>
              <w:right w:val="nil"/>
            </w:tcBorders>
            <w:shd w:val="clear" w:color="000000" w:fill="376091"/>
            <w:vAlign w:val="center"/>
            <w:hideMark/>
          </w:tcPr>
          <w:p w:rsidR="00B111E0" w:rsidRPr="00B111E0" w:rsidRDefault="00B111E0" w:rsidP="00B111E0">
            <w:pPr>
              <w:suppressAutoHyphens w:val="0"/>
              <w:spacing w:after="0"/>
              <w:jc w:val="center"/>
              <w:rPr>
                <w:rFonts w:ascii="Calibri" w:hAnsi="Calibri" w:cs="Calibri"/>
                <w:b/>
                <w:bCs/>
                <w:color w:val="FFFFFF"/>
                <w:szCs w:val="22"/>
                <w:lang w:eastAsia="cs-CZ"/>
              </w:rPr>
            </w:pPr>
            <w:r w:rsidRPr="00B111E0">
              <w:rPr>
                <w:rFonts w:ascii="Calibri" w:hAnsi="Calibri" w:cs="Calibri"/>
                <w:b/>
                <w:bCs/>
                <w:color w:val="FFFFFF"/>
                <w:szCs w:val="22"/>
                <w:lang w:eastAsia="cs-CZ"/>
              </w:rPr>
              <w:t>Dobrovolné svazky obcí a mikroregiony</w:t>
            </w:r>
          </w:p>
        </w:tc>
        <w:tc>
          <w:tcPr>
            <w:tcW w:w="1920" w:type="dxa"/>
            <w:gridSpan w:val="2"/>
            <w:tcBorders>
              <w:top w:val="nil"/>
              <w:left w:val="nil"/>
              <w:bottom w:val="nil"/>
              <w:right w:val="nil"/>
            </w:tcBorders>
            <w:shd w:val="clear" w:color="000000" w:fill="FFC000"/>
            <w:vAlign w:val="center"/>
            <w:hideMark/>
          </w:tcPr>
          <w:p w:rsidR="00B111E0" w:rsidRPr="00B111E0" w:rsidRDefault="00B111E0" w:rsidP="00B111E0">
            <w:pPr>
              <w:suppressAutoHyphens w:val="0"/>
              <w:spacing w:after="0"/>
              <w:jc w:val="center"/>
              <w:rPr>
                <w:rFonts w:ascii="Calibri" w:hAnsi="Calibri" w:cs="Calibri"/>
                <w:color w:val="000000"/>
                <w:szCs w:val="22"/>
                <w:lang w:eastAsia="cs-CZ"/>
              </w:rPr>
            </w:pPr>
            <w:r w:rsidRPr="00B111E0">
              <w:rPr>
                <w:rFonts w:ascii="Calibri" w:hAnsi="Calibri" w:cs="Calibri"/>
                <w:color w:val="000000"/>
                <w:szCs w:val="22"/>
                <w:lang w:eastAsia="cs-CZ"/>
              </w:rPr>
              <w:t>MAS</w:t>
            </w:r>
          </w:p>
        </w:tc>
        <w:tc>
          <w:tcPr>
            <w:tcW w:w="960" w:type="dxa"/>
            <w:tcBorders>
              <w:top w:val="nil"/>
              <w:left w:val="nil"/>
              <w:bottom w:val="nil"/>
              <w:right w:val="nil"/>
            </w:tcBorders>
            <w:shd w:val="clear" w:color="000000" w:fill="000000"/>
            <w:vAlign w:val="center"/>
            <w:hideMark/>
          </w:tcPr>
          <w:p w:rsidR="00B111E0" w:rsidRPr="00B111E0" w:rsidRDefault="00B111E0" w:rsidP="00B111E0">
            <w:pPr>
              <w:suppressAutoHyphens w:val="0"/>
              <w:spacing w:after="0"/>
              <w:jc w:val="center"/>
              <w:rPr>
                <w:rFonts w:ascii="Calibri" w:hAnsi="Calibri" w:cs="Calibri"/>
                <w:color w:val="000000"/>
                <w:szCs w:val="22"/>
                <w:lang w:eastAsia="cs-CZ"/>
              </w:rPr>
            </w:pPr>
            <w:r w:rsidRPr="00B111E0">
              <w:rPr>
                <w:rFonts w:ascii="Calibri" w:hAnsi="Calibri" w:cs="Calibri"/>
                <w:color w:val="000000"/>
                <w:szCs w:val="22"/>
                <w:lang w:eastAsia="cs-CZ"/>
              </w:rPr>
              <w:t> </w:t>
            </w:r>
          </w:p>
        </w:tc>
      </w:tr>
      <w:tr w:rsidR="00B111E0" w:rsidRPr="00B111E0" w:rsidTr="00576A72">
        <w:trPr>
          <w:trHeight w:val="300"/>
          <w:jc w:val="center"/>
        </w:trPr>
        <w:tc>
          <w:tcPr>
            <w:tcW w:w="3240" w:type="dxa"/>
            <w:vMerge/>
            <w:tcBorders>
              <w:top w:val="nil"/>
              <w:left w:val="nil"/>
              <w:bottom w:val="nil"/>
              <w:right w:val="nil"/>
            </w:tcBorders>
            <w:vAlign w:val="center"/>
            <w:hideMark/>
          </w:tcPr>
          <w:p w:rsidR="00B111E0" w:rsidRPr="00B111E0" w:rsidRDefault="00B111E0" w:rsidP="00B111E0">
            <w:pPr>
              <w:suppressAutoHyphens w:val="0"/>
              <w:spacing w:after="0"/>
              <w:jc w:val="left"/>
              <w:rPr>
                <w:rFonts w:ascii="Calibri" w:hAnsi="Calibri" w:cs="Calibri"/>
                <w:b/>
                <w:bCs/>
                <w:color w:val="FFFFFF"/>
                <w:szCs w:val="22"/>
                <w:lang w:eastAsia="cs-CZ"/>
              </w:rPr>
            </w:pPr>
          </w:p>
        </w:tc>
        <w:tc>
          <w:tcPr>
            <w:tcW w:w="960" w:type="dxa"/>
            <w:tcBorders>
              <w:top w:val="nil"/>
              <w:left w:val="nil"/>
              <w:bottom w:val="nil"/>
              <w:right w:val="nil"/>
            </w:tcBorders>
            <w:shd w:val="clear" w:color="000000" w:fill="000000"/>
            <w:vAlign w:val="center"/>
            <w:hideMark/>
          </w:tcPr>
          <w:p w:rsidR="00B111E0" w:rsidRPr="00B111E0" w:rsidRDefault="00B111E0" w:rsidP="00B111E0">
            <w:pPr>
              <w:suppressAutoHyphens w:val="0"/>
              <w:spacing w:after="0"/>
              <w:jc w:val="center"/>
              <w:rPr>
                <w:rFonts w:ascii="Calibri" w:hAnsi="Calibri" w:cs="Calibri"/>
                <w:color w:val="000000"/>
                <w:szCs w:val="22"/>
                <w:lang w:eastAsia="cs-CZ"/>
              </w:rPr>
            </w:pPr>
            <w:r w:rsidRPr="00B111E0">
              <w:rPr>
                <w:rFonts w:ascii="Calibri" w:hAnsi="Calibri" w:cs="Calibri"/>
                <w:color w:val="000000"/>
                <w:szCs w:val="22"/>
                <w:lang w:eastAsia="cs-CZ"/>
              </w:rPr>
              <w:t> </w:t>
            </w:r>
          </w:p>
        </w:tc>
        <w:tc>
          <w:tcPr>
            <w:tcW w:w="1920" w:type="dxa"/>
            <w:gridSpan w:val="2"/>
            <w:tcBorders>
              <w:top w:val="nil"/>
              <w:left w:val="nil"/>
              <w:bottom w:val="nil"/>
              <w:right w:val="nil"/>
            </w:tcBorders>
            <w:shd w:val="clear" w:color="000000" w:fill="C2D69A"/>
            <w:vAlign w:val="center"/>
            <w:hideMark/>
          </w:tcPr>
          <w:p w:rsidR="00B111E0" w:rsidRPr="00B111E0" w:rsidRDefault="00B111E0" w:rsidP="00B111E0">
            <w:pPr>
              <w:suppressAutoHyphens w:val="0"/>
              <w:spacing w:after="0"/>
              <w:jc w:val="center"/>
              <w:rPr>
                <w:rFonts w:ascii="Calibri" w:hAnsi="Calibri" w:cs="Calibri"/>
                <w:color w:val="000000"/>
                <w:szCs w:val="22"/>
                <w:lang w:eastAsia="cs-CZ"/>
              </w:rPr>
            </w:pPr>
            <w:r w:rsidRPr="00B111E0">
              <w:rPr>
                <w:rFonts w:ascii="Calibri" w:hAnsi="Calibri" w:cs="Calibri"/>
                <w:color w:val="000000"/>
                <w:szCs w:val="22"/>
                <w:lang w:eastAsia="cs-CZ"/>
              </w:rPr>
              <w:t>DSO</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Mikroregion Hlinecko</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53</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26</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Mikroregion Vysokomýtsko</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44</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10</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18</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Kraj Smetany a Martinův</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50</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4</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10</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Českomoravské Pomezí</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52</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2</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3</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České dědictví</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53</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11</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Sdružení obcí Toulovcovy Maštale</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42</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12</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0</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Region Orlicko-Třebovsko</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52</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2</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22</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t>Mikroregion Litomyšlsko-Desinka</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42</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12</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w:t>
            </w:r>
          </w:p>
        </w:tc>
      </w:tr>
      <w:tr w:rsidR="00B111E0" w:rsidRPr="00B111E0" w:rsidTr="00576A72">
        <w:trPr>
          <w:trHeight w:val="300"/>
          <w:jc w:val="center"/>
        </w:trPr>
        <w:tc>
          <w:tcPr>
            <w:tcW w:w="3240" w:type="dxa"/>
            <w:tcBorders>
              <w:top w:val="nil"/>
              <w:left w:val="nil"/>
              <w:bottom w:val="nil"/>
              <w:right w:val="nil"/>
            </w:tcBorders>
            <w:shd w:val="clear" w:color="000000" w:fill="B8CCE4"/>
            <w:noWrap/>
            <w:vAlign w:val="bottom"/>
            <w:hideMark/>
          </w:tcPr>
          <w:p w:rsidR="00B111E0" w:rsidRPr="00B111E0" w:rsidRDefault="00B111E0" w:rsidP="00B111E0">
            <w:pPr>
              <w:suppressAutoHyphens w:val="0"/>
              <w:spacing w:after="0"/>
              <w:jc w:val="left"/>
              <w:rPr>
                <w:rFonts w:ascii="Calibri" w:hAnsi="Calibri" w:cs="Calibri"/>
                <w:color w:val="000000"/>
                <w:szCs w:val="22"/>
                <w:lang w:eastAsia="cs-CZ"/>
              </w:rPr>
            </w:pPr>
            <w:r w:rsidRPr="00B111E0">
              <w:rPr>
                <w:rFonts w:ascii="Calibri" w:hAnsi="Calibri" w:cs="Calibri"/>
                <w:color w:val="000000"/>
                <w:szCs w:val="22"/>
                <w:lang w:eastAsia="cs-CZ"/>
              </w:rPr>
              <w:lastRenderedPageBreak/>
              <w:t>Mikroregion Litomyšlsko</w:t>
            </w:r>
          </w:p>
        </w:tc>
        <w:tc>
          <w:tcPr>
            <w:tcW w:w="960" w:type="dxa"/>
            <w:tcBorders>
              <w:top w:val="nil"/>
              <w:left w:val="nil"/>
              <w:bottom w:val="nil"/>
              <w:right w:val="nil"/>
            </w:tcBorders>
            <w:shd w:val="clear" w:color="000000" w:fill="FFC000"/>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13</w:t>
            </w:r>
          </w:p>
        </w:tc>
        <w:tc>
          <w:tcPr>
            <w:tcW w:w="960" w:type="dxa"/>
            <w:tcBorders>
              <w:top w:val="nil"/>
              <w:left w:val="nil"/>
              <w:bottom w:val="nil"/>
              <w:right w:val="nil"/>
            </w:tcBorders>
            <w:shd w:val="clear" w:color="000000" w:fill="948B54"/>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41</w:t>
            </w:r>
          </w:p>
        </w:tc>
        <w:tc>
          <w:tcPr>
            <w:tcW w:w="960" w:type="dxa"/>
            <w:tcBorders>
              <w:top w:val="nil"/>
              <w:left w:val="nil"/>
              <w:bottom w:val="nil"/>
              <w:right w:val="nil"/>
            </w:tcBorders>
            <w:shd w:val="clear" w:color="000000" w:fill="C2D69A"/>
            <w:noWrap/>
            <w:vAlign w:val="bottom"/>
            <w:hideMark/>
          </w:tcPr>
          <w:p w:rsidR="00B111E0" w:rsidRPr="00B111E0" w:rsidRDefault="00B111E0" w:rsidP="00B111E0">
            <w:pPr>
              <w:suppressAutoHyphens w:val="0"/>
              <w:spacing w:after="0"/>
              <w:jc w:val="right"/>
              <w:rPr>
                <w:rFonts w:ascii="Calibri" w:hAnsi="Calibri" w:cs="Calibri"/>
                <w:color w:val="000000"/>
                <w:szCs w:val="22"/>
                <w:lang w:eastAsia="cs-CZ"/>
              </w:rPr>
            </w:pPr>
            <w:r w:rsidRPr="00B111E0">
              <w:rPr>
                <w:rFonts w:ascii="Calibri" w:hAnsi="Calibri" w:cs="Calibri"/>
                <w:color w:val="000000"/>
                <w:szCs w:val="22"/>
                <w:lang w:eastAsia="cs-CZ"/>
              </w:rPr>
              <w:t>1</w:t>
            </w:r>
          </w:p>
        </w:tc>
      </w:tr>
    </w:tbl>
    <w:p w:rsidR="001E525D" w:rsidRDefault="001E525D" w:rsidP="000206A1"/>
    <w:p w:rsidR="00576A72" w:rsidRDefault="00576A72" w:rsidP="000206A1">
      <w:r>
        <w:t>Vzájemný vliv obcí MAS a svazků obcí znázorňuje následující tabulka.</w:t>
      </w:r>
    </w:p>
    <w:p w:rsidR="00D64C2C" w:rsidRDefault="00633097" w:rsidP="00AC3787">
      <w:pPr>
        <w:jc w:val="center"/>
      </w:pPr>
      <w:r w:rsidRPr="00633097">
        <w:rPr>
          <w:noProof/>
          <w:lang w:eastAsia="cs-CZ"/>
        </w:rPr>
        <w:drawing>
          <wp:inline distT="0" distB="0" distL="0" distR="0">
            <wp:extent cx="4886325" cy="2486025"/>
            <wp:effectExtent l="19050" t="0" r="9525" b="0"/>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4886325" cy="2486025"/>
                    </a:xfrm>
                    <a:prstGeom prst="rect">
                      <a:avLst/>
                    </a:prstGeom>
                    <a:noFill/>
                    <a:ln w="9525">
                      <a:noFill/>
                      <a:miter lim="800000"/>
                      <a:headEnd/>
                      <a:tailEnd/>
                    </a:ln>
                  </pic:spPr>
                </pic:pic>
              </a:graphicData>
            </a:graphic>
          </wp:inline>
        </w:drawing>
      </w:r>
    </w:p>
    <w:p w:rsidR="009F3E66" w:rsidRDefault="009F3E66" w:rsidP="009F4D7F">
      <w:pPr>
        <w:pStyle w:val="Nadpis2"/>
      </w:pPr>
      <w:bookmarkStart w:id="66" w:name="_Toc430006536"/>
      <w:r>
        <w:t>Inovativní</w:t>
      </w:r>
      <w:r w:rsidR="00EB5BD0">
        <w:t xml:space="preserve"> prvky</w:t>
      </w:r>
      <w:bookmarkEnd w:id="66"/>
    </w:p>
    <w:p w:rsidR="00E72F7D" w:rsidRDefault="00E72F7D" w:rsidP="00B33FCC">
      <w:r>
        <w:t>Inovace jsou pro MAS změny, které si najdou v regionu poptávku a jsou aktivně přijaty. Zároveň musí být hospodářsky a environmentálně udržitelné. Metody jak hledat a třídit mezi požadavky a návrhy se musí opírat o zásadní zdroje inovací</w:t>
      </w:r>
      <w:r w:rsidR="00464FCF">
        <w:t>,</w:t>
      </w:r>
      <w:r>
        <w:t xml:space="preserve"> jak je napříkl</w:t>
      </w:r>
      <w:r w:rsidR="00551D1F">
        <w:t>ad definoval Drucker.</w:t>
      </w:r>
    </w:p>
    <w:p w:rsidR="00E72F7D" w:rsidRDefault="00E72F7D" w:rsidP="00B33FCC">
      <w:r>
        <w:t>Demografické změny jsou podle analýz jasným důvodem k inovativním změnám. Z regionálních údajů MAS musí počítat s rostoucí skupinou starších obyvatel, kteří kvantitativně změní poměry v regionu. Přitom dojde k diverzifikaci jejich potřeb, na což bude potřeba reagovat technicky a organizačně přiměřeným způsobem, resp. zavedením nový</w:t>
      </w:r>
      <w:r w:rsidR="00443F92">
        <w:t>ch metod obsluhy těchto potřeb.</w:t>
      </w:r>
    </w:p>
    <w:p w:rsidR="00E72F7D" w:rsidRDefault="00E72F7D" w:rsidP="00B33FCC">
      <w:r>
        <w:t>MAS nemůže předjímat konkrétní metody, natož technologie. Co může, je v součinnosti na komunitní bázi monitorovat orientaci a rozsah potřeb a pomoci definovat parametry pro inovativní projekci, vývoj a realizaci třetím osobám.</w:t>
      </w:r>
    </w:p>
    <w:p w:rsidR="00E72F7D" w:rsidRDefault="00E72F7D" w:rsidP="00B33FCC">
      <w:r>
        <w:t>Opět se v popředí usadí inovace terénního a ambulantního charakteru služeb, neboť zde není taková tenze po ústavních zařízeních. Navíc, s prodlouženým věkem, aktivním žitím a růstem nároků na kvalitu, to nebudou jen ryze sociální služby, jak je definuje legislativa. Více lidí, více volného času, to je výzva pro řadu inovací založených na aktivní účasti klientů.</w:t>
      </w:r>
    </w:p>
    <w:p w:rsidR="00E72F7D" w:rsidRDefault="00E72F7D" w:rsidP="00B33FCC">
      <w:r>
        <w:lastRenderedPageBreak/>
        <w:t xml:space="preserve">Změny ve společenské organizaci zasáhnou venkovské území více než města. Proto v kombinaci s demografií vidíme inovační prostor prvotně vůči potřebám rodin s dětmi. Mění se metody učení, podmínky pro výchovu, nároky na výkon výdělečné činnosti rodičů. MAS už ve strategii vytvořila některá opatření schopná zlepšovat podmínky pro usazení inovací v regionu, jak </w:t>
      </w:r>
      <w:r w:rsidR="00464FCF">
        <w:t>je budou místní poptávat. Je to</w:t>
      </w:r>
      <w:r>
        <w:t xml:space="preserve"> souhrn více oblastí: místní bezpečná bezmotorová doprava, disponibilní objekty a prostory, aktivace starších erudovaných obyvatel a další.</w:t>
      </w:r>
    </w:p>
    <w:p w:rsidR="00E72F7D" w:rsidRDefault="00E72F7D" w:rsidP="00B33FCC">
      <w:r>
        <w:t xml:space="preserve">Třetím podstatným zdrojem k inovacím, který může MAS aktivně využít je propojování dosud samostatně organizovaných a stojících statků (činností a kapacit) do nových forem. Je to způsob konkrétní integrace v regionu a v obci, aby se tyto statky dostaly k více lidem a s novou vyšší hodnotou. Pro MAS to je opět úkol komunitního typu práce, monitorování takových příležitostí a spojování aktérů do inovačních změn. Dnes není možné jednotlivé inovace z uvedených zdrojů pojmenovat a plánovat. Samotná MAS ale může vyjít strategickým inovacím systémově vstříc. </w:t>
      </w:r>
    </w:p>
    <w:p w:rsidR="00E72F7D" w:rsidRDefault="00E72F7D" w:rsidP="00B33FCC">
      <w:r>
        <w:t>Hlavní metodou, která sebou nese nezbytnou důslednost, je komunitní komunikace a monitoring. Od přijetí strategie</w:t>
      </w:r>
      <w:r w:rsidR="008031C8">
        <w:t xml:space="preserve"> se musí </w:t>
      </w:r>
      <w:r>
        <w:t xml:space="preserve"> trvale sestavovat a upravovat jednoduchý p</w:t>
      </w:r>
      <w:r w:rsidR="008031C8">
        <w:t>řehled</w:t>
      </w:r>
      <w:r>
        <w:t xml:space="preserve"> skupinových potřeb a proti němu p</w:t>
      </w:r>
      <w:r w:rsidR="008031C8">
        <w:t>řehled</w:t>
      </w:r>
      <w:r>
        <w:t xml:space="preserve"> fyzických i lidských kapacit, které se v obcích mohou nabízet. Odsud je možné vyvíjet záměry a po testu proveditelnosti také plány jak pozitivním změnám včetně inovací pomoci do praxe.</w:t>
      </w:r>
    </w:p>
    <w:p w:rsidR="009F3E66" w:rsidRDefault="009F3E66" w:rsidP="009F4D7F">
      <w:pPr>
        <w:pStyle w:val="Nadpis3"/>
      </w:pPr>
      <w:bookmarkStart w:id="67" w:name="_Toc430006537"/>
      <w:r>
        <w:t>R</w:t>
      </w:r>
      <w:r w:rsidR="00EB5BD0">
        <w:t>adikální inovace</w:t>
      </w:r>
      <w:bookmarkEnd w:id="67"/>
    </w:p>
    <w:p w:rsidR="00733ACC" w:rsidRDefault="00733ACC" w:rsidP="00733ACC">
      <w:r>
        <w:t xml:space="preserve">Komplex úplných změn či spíše novinek v podněcování a řízení kvality životních podmínek vzešel z rozboru objektivních posunů od demografie po názory veřejnosti. K tomu byly připojeny dílčí poznatky z jiných zdrojů. Výsledkem se opírá o důležitou součást inovace, kterou je marketing a identifikace příležitostí. K tomu se dosud region a samotná MAS nedopracovaly. Také integrace je spíše dílem náhodné příležitosti, a proto víceméně identifikací některých aktérů, obcí, částí spolků, než aby tvořila princip vlastní strategie a plánování. Pokud MAS marketing současně s integračními hledisky v novém období uplatní důsledně, dojde k radikálním inovacím ve více okruzích. </w:t>
      </w:r>
    </w:p>
    <w:p w:rsidR="00733ACC" w:rsidRDefault="00733ACC" w:rsidP="00733ACC">
      <w:r>
        <w:t>Není úkolem strategie předjímat konkrétní realizace, přesto MAS již identifikovala příležitosti, které chce přednostně testovat na proveditelnost a udržitelnost. Pracovně jsou radikálními podněty:</w:t>
      </w:r>
    </w:p>
    <w:p w:rsidR="00733ACC" w:rsidRDefault="00733ACC" w:rsidP="00A60AC9">
      <w:pPr>
        <w:pStyle w:val="Odstavecseseznamem"/>
        <w:numPr>
          <w:ilvl w:val="0"/>
          <w:numId w:val="42"/>
        </w:numPr>
      </w:pPr>
      <w:r>
        <w:lastRenderedPageBreak/>
        <w:t xml:space="preserve">vývoj jedné regionální značky </w:t>
      </w:r>
      <w:r w:rsidR="00805D1C">
        <w:t>(</w:t>
      </w:r>
      <w:r>
        <w:t>nebo její alternativy</w:t>
      </w:r>
      <w:r w:rsidR="00805D1C">
        <w:t>)</w:t>
      </w:r>
      <w:r>
        <w:t xml:space="preserve"> osvědčující uživatelskou kvalitu; značka by integrovala dosavadní rozdrobenost až matoucí četnost dosavadních; přitom by pokryla různé produkty, aby vypovídala i o službách užívaných místními obyvateli a nebyla obrácena jen na turisty, kteří většinou jsou jen jednorázovými uživateli;</w:t>
      </w:r>
    </w:p>
    <w:p w:rsidR="00122427" w:rsidRDefault="00733ACC" w:rsidP="00A60AC9">
      <w:pPr>
        <w:pStyle w:val="Odstavecseseznamem"/>
        <w:numPr>
          <w:ilvl w:val="0"/>
          <w:numId w:val="42"/>
        </w:numPr>
      </w:pPr>
      <w:r>
        <w:t>sběr údajů o potřebě drobných služeb v obcích a jejich integrace do hospodárných zadání k oslovení a výběru dodavatelů nebo vzniku místních podniků</w:t>
      </w:r>
      <w:r w:rsidR="00122427">
        <w:t xml:space="preserve"> a pracovních příležitostí;</w:t>
      </w:r>
    </w:p>
    <w:p w:rsidR="00122427" w:rsidRDefault="00122427" w:rsidP="00A60AC9">
      <w:pPr>
        <w:pStyle w:val="Odstavecseseznamem"/>
        <w:numPr>
          <w:ilvl w:val="0"/>
          <w:numId w:val="42"/>
        </w:numPr>
      </w:pPr>
      <w:r>
        <w:t>vytvoření prodejních kanálů navazujících zejména na potravinářskou produkci zemědělských podnikatelů, která bude aktivně podporována;</w:t>
      </w:r>
    </w:p>
    <w:p w:rsidR="00733ACC" w:rsidRDefault="00733ACC" w:rsidP="00A60AC9">
      <w:pPr>
        <w:pStyle w:val="Odstavecseseznamem"/>
        <w:numPr>
          <w:ilvl w:val="0"/>
          <w:numId w:val="42"/>
        </w:numPr>
      </w:pPr>
      <w:r>
        <w:t>podobně lze aplikovat na sdílené investice do vybraných zařízeních.</w:t>
      </w:r>
    </w:p>
    <w:p w:rsidR="00122427" w:rsidRDefault="00122427" w:rsidP="00122427">
      <w:pPr>
        <w:ind w:left="360"/>
      </w:pPr>
      <w:r>
        <w:t>Dále jsou v regionu plánovány „měkké“ inovace spočívající ve spolupráci nebo sdílení pracovní síly.</w:t>
      </w:r>
    </w:p>
    <w:p w:rsidR="00733ACC" w:rsidRDefault="00122427" w:rsidP="00A60AC9">
      <w:pPr>
        <w:pStyle w:val="Odstavecseseznamem"/>
        <w:numPr>
          <w:ilvl w:val="0"/>
          <w:numId w:val="53"/>
        </w:numPr>
      </w:pPr>
      <w:r>
        <w:t>MAS plánuje zastřešit nebo podpořit zaměstnání poradenských pracovníků v oblastech, které jsou popsány v předchozích částech tohoto dokumentu. Zejména se jedná o poradce v oblasti administrativy spojené s řízením obcí a poradce v oblastí do</w:t>
      </w:r>
      <w:r w:rsidR="00464FCF">
        <w:t>tací EU na národní úrovni</w:t>
      </w:r>
      <w:r>
        <w:t>. Tyto aktivity může MAS zastřešit organizačně nebo být přímo zaměstnavatelem těchto osob.</w:t>
      </w:r>
    </w:p>
    <w:p w:rsidR="00122427" w:rsidRDefault="00122427" w:rsidP="00A60AC9">
      <w:pPr>
        <w:pStyle w:val="Odstavecseseznamem"/>
        <w:numPr>
          <w:ilvl w:val="0"/>
          <w:numId w:val="53"/>
        </w:numPr>
      </w:pPr>
      <w:r>
        <w:t xml:space="preserve">MAS hodlá organizačně podpořit </w:t>
      </w:r>
      <w:r w:rsidR="00080F61">
        <w:t>zaměstnání školního psychologa, který by se věnoval více školám v regionu, čímž by byly tyto služby školám dostupné v potřebné míře a přitom by nesly jen únosnou část nákladů.</w:t>
      </w:r>
    </w:p>
    <w:p w:rsidR="009F3E66" w:rsidRDefault="009F3E66" w:rsidP="009F4D7F">
      <w:pPr>
        <w:pStyle w:val="Nadpis3"/>
      </w:pPr>
      <w:bookmarkStart w:id="68" w:name="_Toc430006538"/>
      <w:r>
        <w:t>P</w:t>
      </w:r>
      <w:r w:rsidR="00EB5BD0">
        <w:t>řírůstková inovace</w:t>
      </w:r>
      <w:bookmarkEnd w:id="68"/>
    </w:p>
    <w:p w:rsidR="005366DA" w:rsidRDefault="005366DA" w:rsidP="005366DA">
      <w:r>
        <w:t>Mezi náměty, které se opakují v názorech veřejnosti, starostů a které jsou opřeny o statistické argumenty, stojí za pozornost dílčí inovace v následujících funkcích:</w:t>
      </w:r>
    </w:p>
    <w:p w:rsidR="005366DA" w:rsidRDefault="005366DA" w:rsidP="00A60AC9">
      <w:pPr>
        <w:pStyle w:val="Odstavecseseznamem"/>
        <w:numPr>
          <w:ilvl w:val="0"/>
          <w:numId w:val="45"/>
        </w:numPr>
      </w:pPr>
      <w:r>
        <w:t xml:space="preserve">úprava místních cest, ploch a komunikací tak, aby v obcích i mezi nimi vznikalo spojení pro pěší a cyklisty důsledně separované od automobilového provozu. Je to inovace vynucená vývojem uplynulých desetiletí, která preferovala motorovou dopravu a pojezd hospodářských mechanismů. Nyní stárne velký podíl obyvatel, neubývá dětí, a tak je zapotřebí zajistit dostupnost bezpečnost v kratších, </w:t>
      </w:r>
      <w:r>
        <w:lastRenderedPageBreak/>
        <w:t>každodenně užívaných úsecích. Přínosy nutno hodnotit v nové kvalitě kompenzující specifické požadavky těchto skupin obyvatel. K tradičním užitkům nutno přidat hmatové prvky, bezbariérové úpravy, osvětlení a v neposlední řadě osvětlení, případně signalizace a kontrolní body (dle vývoje technologie) pro kontro</w:t>
      </w:r>
      <w:r w:rsidR="00805D1C">
        <w:t>lu ze strany blízkých na trase.</w:t>
      </w:r>
    </w:p>
    <w:p w:rsidR="005366DA" w:rsidRDefault="005366DA" w:rsidP="00A60AC9">
      <w:pPr>
        <w:pStyle w:val="Odstavecseseznamem"/>
        <w:numPr>
          <w:ilvl w:val="0"/>
          <w:numId w:val="44"/>
        </w:numPr>
      </w:pPr>
      <w:r>
        <w:t>Rozšiřování sběru separovaných odpadů, které umožní udržet či snížit složenou kvótu nákladů na odpadové hospodaření obcí a domácností. Zároveň může být impulsem k likvidaci doma nahromaděných věcí, konečnému vypořádání problémových míst obcí a katastrů. V neposlední řadě jsou vyspělé ekologické systémy možností pro pracovní a podnikatelské zapojení místních.</w:t>
      </w:r>
    </w:p>
    <w:p w:rsidR="005366DA" w:rsidRDefault="005366DA" w:rsidP="00A60AC9">
      <w:pPr>
        <w:pStyle w:val="Odstavecseseznamem"/>
        <w:numPr>
          <w:ilvl w:val="0"/>
          <w:numId w:val="44"/>
        </w:numPr>
      </w:pPr>
      <w:r>
        <w:t>Zdokonalení informační infrastruktury fyzické i virtuální. Dnes již nestačí značení na hranici regionu a odpočívadlech. Při strategii vyšší integrace uvnitř regionu bude vhodné a asi nezbytné domyslet a realizovat vrstvy informací pro běžné potřeby, které mají být integrovány, tj. místní služby, zapojená místa, provozní doby atd. Obdobně důraz na místní značku musí doprovodit spolehlivé informace včetně agroturistických produktů, místního přírodního a historického odkazu „malých památek“ atp.</w:t>
      </w:r>
    </w:p>
    <w:p w:rsidR="00080F61" w:rsidRDefault="00080F61" w:rsidP="00A60AC9">
      <w:pPr>
        <w:pStyle w:val="Odstavecseseznamem"/>
        <w:numPr>
          <w:ilvl w:val="0"/>
          <w:numId w:val="44"/>
        </w:numPr>
      </w:pPr>
      <w:r>
        <w:t>MAS hodlá organizačně podpořit rozšíření organizované dopravy určené zejména seniorům a jinak znevýhodněným osobám, kterým tak bude umožněna doprava za zbožím, službami, zdravotnictvím apod. Doprava zatím funguje s velkým úspěchem pouze na území Vysokého Mýta.</w:t>
      </w:r>
    </w:p>
    <w:p w:rsidR="00EB5BD0" w:rsidRDefault="009F3E66" w:rsidP="009F4D7F">
      <w:pPr>
        <w:pStyle w:val="Nadpis3"/>
      </w:pPr>
      <w:bookmarkStart w:id="69" w:name="_Toc430006539"/>
      <w:r>
        <w:t>Z</w:t>
      </w:r>
      <w:r w:rsidR="00EB5BD0">
        <w:t>ajištění udržitelnosti inovace</w:t>
      </w:r>
      <w:bookmarkEnd w:id="69"/>
    </w:p>
    <w:p w:rsidR="005366DA" w:rsidRDefault="005366DA" w:rsidP="005366DA">
      <w:r>
        <w:t>MAS jako svou prioritu uplatní striktně hospodářské, tedy fiskální požadavky pro všechny inovace, které podpoří. Nástroje, které pro to uplatní, jsou:</w:t>
      </w:r>
    </w:p>
    <w:p w:rsidR="005366DA" w:rsidRDefault="005366DA" w:rsidP="00A60AC9">
      <w:pPr>
        <w:pStyle w:val="Odstavecseseznamem"/>
        <w:numPr>
          <w:ilvl w:val="0"/>
          <w:numId w:val="43"/>
        </w:numPr>
      </w:pPr>
      <w:r>
        <w:t>Na inovaci se musí podílet finančně její uživatelé. Jejich závazek musí být vymahatelný, nikoliv jen proklamativní. Podíl uživatelů, tj. producentů nového statku i konečných zákazníků, klientů, musí být rozložen do investiční fáze stejně jako do prvního období odběru produkce. Ceny produkce by neměly deformovat soutěžní, resp. tržní prostředí. Proto má před slevou ceny přednost úprava souvisejících hospodářských vztahů tak, aby cena a úhrada pokryla plně reprodukční kalkulaci statku.</w:t>
      </w:r>
    </w:p>
    <w:p w:rsidR="005366DA" w:rsidRDefault="005366DA" w:rsidP="00A60AC9">
      <w:pPr>
        <w:pStyle w:val="Odstavecseseznamem"/>
        <w:numPr>
          <w:ilvl w:val="0"/>
          <w:numId w:val="43"/>
        </w:numPr>
      </w:pPr>
      <w:r>
        <w:lastRenderedPageBreak/>
        <w:t>Období pro funkčnost inovace musí být testováno na životnost investice včetně know how a přirozených zlepšování. Stejně tak musí pro toto období existovat průkazné údaje a jistota potřeb včetně ochoty užívat a platit za danou produkci.</w:t>
      </w:r>
    </w:p>
    <w:p w:rsidR="005366DA" w:rsidRDefault="005366DA" w:rsidP="005366DA">
      <w:r>
        <w:t xml:space="preserve">Sebepřísnější měřítka a zodpovědné testy nemohou vyloučit, že inovace ztratí v průběhu své životnosti část významu nebo smysl. Proto se MAS zdrží úzce technologických záměrů, čemuž odpovídá předchozí výčet námětů. Podobně zdrženlivě nutno jednat vůči tarifně dotovaným statkům jako jsou veřejná doprava, sociální a zdravotní služby, školství. Proto je MAS do námětů přímo nezařadila. Případný přesah však musí být od počátku prosazen jako udržitelný závazek regionu </w:t>
      </w:r>
      <w:r w:rsidRPr="000A74F1">
        <w:t>a nadřazeného systému. To je zdůrazněno v části 3.7</w:t>
      </w:r>
      <w:r w:rsidR="00080F61" w:rsidRPr="000A74F1">
        <w:t xml:space="preserve"> Integrační prvky</w:t>
      </w:r>
      <w:r w:rsidRPr="000A74F1">
        <w:t>.</w:t>
      </w:r>
    </w:p>
    <w:p w:rsidR="00EB5BD0" w:rsidRDefault="008B5FB2" w:rsidP="009F4D7F">
      <w:pPr>
        <w:pStyle w:val="Nadpis2"/>
      </w:pPr>
      <w:bookmarkStart w:id="70" w:name="_Toc430006540"/>
      <w:r>
        <w:t>U</w:t>
      </w:r>
      <w:r w:rsidR="00EB5BD0">
        <w:t>držení stávající situace</w:t>
      </w:r>
      <w:r>
        <w:t xml:space="preserve"> ve vyhovujících oblastech</w:t>
      </w:r>
      <w:bookmarkEnd w:id="70"/>
    </w:p>
    <w:p w:rsidR="00E72F7D" w:rsidRDefault="00BF7695" w:rsidP="00B33FCC">
      <w:r>
        <w:t>Tato</w:t>
      </w:r>
      <w:r w:rsidR="00E72F7D">
        <w:t xml:space="preserve"> strategie ne</w:t>
      </w:r>
      <w:r>
        <w:t>spočívá pouze v realizaci nových projektů</w:t>
      </w:r>
      <w:r w:rsidR="00E72F7D">
        <w:t>, ale</w:t>
      </w:r>
      <w:r>
        <w:t xml:space="preserve"> v</w:t>
      </w:r>
      <w:r w:rsidR="00E72F7D">
        <w:t xml:space="preserve"> trvalé</w:t>
      </w:r>
      <w:r>
        <w:t>m</w:t>
      </w:r>
      <w:r w:rsidR="00E72F7D">
        <w:t xml:space="preserve"> zlepšování současného, poměrně uspokojivého životního prostředí a podmínek v obcích. K tomu patří stabilizace úspěšných dosavadních politik a služeb. </w:t>
      </w:r>
    </w:p>
    <w:p w:rsidR="00E72F7D" w:rsidRDefault="00E72F7D" w:rsidP="008B5FB2">
      <w:pPr>
        <w:pStyle w:val="Nadpis3"/>
      </w:pPr>
      <w:bookmarkStart w:id="71" w:name="_Toc430006541"/>
      <w:r>
        <w:t>Technický stav, funkčnost infrastruktury a pořádek v obcích</w:t>
      </w:r>
      <w:bookmarkEnd w:id="71"/>
    </w:p>
    <w:p w:rsidR="00E72F7D" w:rsidRDefault="00E72F7D" w:rsidP="00B33FCC">
      <w:r>
        <w:t xml:space="preserve">Záměrem je soustavně obnovovat vybavení, vytěžovat ho mezi obcemi a podle nadřazených pobídek rozšířit i pracovní činnosti s tím spojené, např. směnnost, péči o zeleň, kombinaci s odpadovým hospodářstvím. </w:t>
      </w:r>
    </w:p>
    <w:p w:rsidR="00E72F7D" w:rsidRDefault="00E72F7D" w:rsidP="008B5FB2">
      <w:pPr>
        <w:pStyle w:val="Nadpis3"/>
      </w:pPr>
      <w:bookmarkStart w:id="72" w:name="_Toc430006542"/>
      <w:r>
        <w:t>Dopra</w:t>
      </w:r>
      <w:r w:rsidR="00B33FCC">
        <w:t>vní obslužnost, infrastruktura a</w:t>
      </w:r>
      <w:r>
        <w:t xml:space="preserve"> služby</w:t>
      </w:r>
      <w:bookmarkEnd w:id="72"/>
    </w:p>
    <w:p w:rsidR="00E72F7D" w:rsidRDefault="00E72F7D" w:rsidP="00B33FCC">
      <w:r>
        <w:t>Záměrem je udržet rozpočtový podíl příspěvku do krajského systému a s tím současnou frekvenci spojů. Navíc v synergii s bezmotorovou dopravou upravovat přístupy, zastávky a dostupnost informací podle kritérií ČSN EN 13816</w:t>
      </w:r>
      <w:r w:rsidR="00B33FCC">
        <w:t xml:space="preserve"> (Doprava - Logistika a služby - Veřejná přeprava osob - Definice jakosti služby, cíle a měření)</w:t>
      </w:r>
      <w:r>
        <w:t>.</w:t>
      </w:r>
    </w:p>
    <w:p w:rsidR="00E72F7D" w:rsidRDefault="00B33FCC" w:rsidP="008B5FB2">
      <w:pPr>
        <w:pStyle w:val="Nadpis3"/>
      </w:pPr>
      <w:bookmarkStart w:id="73" w:name="_Toc430006543"/>
      <w:r>
        <w:t>Udržení</w:t>
      </w:r>
      <w:r w:rsidR="00E72F7D">
        <w:t xml:space="preserve"> </w:t>
      </w:r>
      <w:r>
        <w:t>škol</w:t>
      </w:r>
      <w:r w:rsidR="00E72F7D">
        <w:t xml:space="preserve"> vč. MŠ a </w:t>
      </w:r>
      <w:r w:rsidR="002B04BB">
        <w:t xml:space="preserve">zvýšení souladu s </w:t>
      </w:r>
      <w:r w:rsidR="00E72F7D">
        <w:t>životem domácností</w:t>
      </w:r>
      <w:bookmarkEnd w:id="73"/>
    </w:p>
    <w:p w:rsidR="00E72F7D" w:rsidRDefault="00E72F7D" w:rsidP="00B33FCC">
      <w:r>
        <w:t>Záměrem je opravdu využít zlepšení, které školám poskytly podpůrné programy. K tomu přidat a propojit s inovačními náměty navazující výchovné, zájmové služby pro volný čas dětí a uvolnění diktátu pracovních dob rodičů. Související záměry se týkají bezmotorové dopravy a</w:t>
      </w:r>
      <w:r w:rsidR="00B33FCC">
        <w:t xml:space="preserve"> aktivace seniorů v této</w:t>
      </w:r>
      <w:r>
        <w:t xml:space="preserve"> oblast</w:t>
      </w:r>
      <w:r w:rsidR="00B33FCC">
        <w:t>i</w:t>
      </w:r>
      <w:r>
        <w:t>.</w:t>
      </w:r>
    </w:p>
    <w:p w:rsidR="00E72F7D" w:rsidRDefault="00E72F7D" w:rsidP="008B5FB2">
      <w:pPr>
        <w:pStyle w:val="Nadpis3"/>
      </w:pPr>
      <w:bookmarkStart w:id="74" w:name="_Toc430006544"/>
      <w:r>
        <w:lastRenderedPageBreak/>
        <w:t>Chod místních samospráv a aktivita malých obcí</w:t>
      </w:r>
      <w:bookmarkEnd w:id="74"/>
    </w:p>
    <w:p w:rsidR="00E72F7D" w:rsidRPr="00673C14" w:rsidRDefault="00E72F7D" w:rsidP="00B33FCC">
      <w:r>
        <w:t>Záměrem je podle podpůrných pobídek posílit obce s neuvolněnými starosty o účelově zaměřené odborníky, kteří by odvedli část administrativy nebo rozvojové realizace. Tím bychom snad mohli překonat vyšší zdrženlivost těchto</w:t>
      </w:r>
      <w:r w:rsidR="00B33FCC">
        <w:t xml:space="preserve"> obcí vůči rozvojovým pobídkám.</w:t>
      </w:r>
    </w:p>
    <w:p w:rsidR="00E72F7D" w:rsidRPr="00E72F7D" w:rsidRDefault="00E72F7D" w:rsidP="00E72F7D"/>
    <w:p w:rsidR="00705498" w:rsidRDefault="00EB5BD0" w:rsidP="009F4D7F">
      <w:pPr>
        <w:pStyle w:val="Nadpis2"/>
      </w:pPr>
      <w:bookmarkStart w:id="75" w:name="_Toc430006545"/>
      <w:r>
        <w:t>Předpokládaný způsob financování projektů</w:t>
      </w:r>
      <w:bookmarkEnd w:id="75"/>
      <w:r>
        <w:t xml:space="preserve"> </w:t>
      </w:r>
    </w:p>
    <w:p w:rsidR="001C5907" w:rsidRPr="001C5907" w:rsidRDefault="001C5907" w:rsidP="001C5907">
      <w:pPr>
        <w:rPr>
          <w:lang w:eastAsia="cs-CZ"/>
        </w:rPr>
      </w:pPr>
      <w:r w:rsidRPr="001C5907">
        <w:rPr>
          <w:lang w:eastAsia="cs-CZ"/>
        </w:rPr>
        <w:t xml:space="preserve">Strategii financování a realizace zásadně MAS opírá o předpoklad podpůrných finančních nástrojů, které budou do roku 2020 (resp. s finančním doběhem) pro region a obecněji tyto účely v České republice k dispozici. </w:t>
      </w:r>
    </w:p>
    <w:p w:rsidR="001C5907" w:rsidRDefault="001C5907" w:rsidP="001C5907">
      <w:pPr>
        <w:rPr>
          <w:lang w:eastAsia="cs-CZ"/>
        </w:rPr>
      </w:pPr>
      <w:r w:rsidRPr="001C5907">
        <w:rPr>
          <w:lang w:eastAsia="cs-CZ"/>
        </w:rPr>
        <w:t xml:space="preserve">Jednoduchý přehled místních rozpočtů ukazuje, že je tu velká část obcí, která bez dotačního příspěvku absolutně nemůže realizovat rozvojové plány a stěží zajistí základní infrastrukturu veřejných služeb. Stejně tak výběrový přehled projektů, které obce realizovaly v předchozím období dokládá, že část obcí zůstává mimo nebo provádí jen projekty výslovně místních potřeb a s nízkými rozpočty. </w:t>
      </w:r>
    </w:p>
    <w:tbl>
      <w:tblPr>
        <w:tblW w:w="8520" w:type="dxa"/>
        <w:tblInd w:w="55" w:type="dxa"/>
        <w:tblCellMar>
          <w:left w:w="70" w:type="dxa"/>
          <w:right w:w="70" w:type="dxa"/>
        </w:tblCellMar>
        <w:tblLook w:val="04A0"/>
      </w:tblPr>
      <w:tblGrid>
        <w:gridCol w:w="1960"/>
        <w:gridCol w:w="820"/>
        <w:gridCol w:w="820"/>
        <w:gridCol w:w="820"/>
        <w:gridCol w:w="820"/>
        <w:gridCol w:w="820"/>
        <w:gridCol w:w="820"/>
        <w:gridCol w:w="820"/>
        <w:gridCol w:w="820"/>
      </w:tblGrid>
      <w:tr w:rsidR="00380B97" w:rsidRPr="00380B97" w:rsidTr="00380B97">
        <w:trPr>
          <w:trHeight w:val="240"/>
        </w:trPr>
        <w:tc>
          <w:tcPr>
            <w:tcW w:w="1960" w:type="dxa"/>
            <w:vMerge w:val="restart"/>
            <w:tcBorders>
              <w:top w:val="nil"/>
              <w:left w:val="nil"/>
              <w:bottom w:val="nil"/>
              <w:right w:val="nil"/>
            </w:tcBorders>
            <w:shd w:val="clear" w:color="auto" w:fill="auto"/>
            <w:noWrap/>
            <w:vAlign w:val="bottom"/>
            <w:hideMark/>
          </w:tcPr>
          <w:p w:rsidR="00380B97" w:rsidRPr="00380B97" w:rsidRDefault="00380B97" w:rsidP="00380B97">
            <w:pPr>
              <w:suppressAutoHyphens w:val="0"/>
              <w:spacing w:after="0"/>
              <w:jc w:val="center"/>
              <w:rPr>
                <w:rFonts w:ascii="Calibri" w:hAnsi="Calibri" w:cs="Calibri"/>
                <w:color w:val="000000"/>
                <w:sz w:val="18"/>
                <w:szCs w:val="18"/>
                <w:lang w:eastAsia="cs-CZ"/>
              </w:rPr>
            </w:pPr>
          </w:p>
        </w:tc>
        <w:tc>
          <w:tcPr>
            <w:tcW w:w="1640" w:type="dxa"/>
            <w:gridSpan w:val="2"/>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center"/>
              <w:rPr>
                <w:rFonts w:ascii="Calibri" w:hAnsi="Calibri" w:cs="Calibri"/>
                <w:color w:val="000000"/>
                <w:sz w:val="18"/>
                <w:szCs w:val="18"/>
                <w:lang w:eastAsia="cs-CZ"/>
              </w:rPr>
            </w:pPr>
            <w:r w:rsidRPr="00380B97">
              <w:rPr>
                <w:rFonts w:ascii="Calibri" w:hAnsi="Calibri" w:cs="Calibri"/>
                <w:color w:val="000000"/>
                <w:sz w:val="18"/>
                <w:szCs w:val="18"/>
                <w:lang w:eastAsia="cs-CZ"/>
              </w:rPr>
              <w:t>2010</w:t>
            </w:r>
          </w:p>
        </w:tc>
        <w:tc>
          <w:tcPr>
            <w:tcW w:w="1640" w:type="dxa"/>
            <w:gridSpan w:val="2"/>
            <w:tcBorders>
              <w:top w:val="nil"/>
              <w:left w:val="nil"/>
              <w:bottom w:val="nil"/>
              <w:right w:val="nil"/>
            </w:tcBorders>
            <w:shd w:val="clear" w:color="000000" w:fill="8DB4E3"/>
            <w:noWrap/>
            <w:vAlign w:val="bottom"/>
            <w:hideMark/>
          </w:tcPr>
          <w:p w:rsidR="00380B97" w:rsidRPr="00380B97" w:rsidRDefault="00380B97" w:rsidP="00380B97">
            <w:pPr>
              <w:suppressAutoHyphens w:val="0"/>
              <w:spacing w:after="0"/>
              <w:jc w:val="center"/>
              <w:rPr>
                <w:rFonts w:ascii="Calibri" w:hAnsi="Calibri" w:cs="Calibri"/>
                <w:color w:val="000000"/>
                <w:sz w:val="18"/>
                <w:szCs w:val="18"/>
                <w:lang w:eastAsia="cs-CZ"/>
              </w:rPr>
            </w:pPr>
            <w:r w:rsidRPr="00380B97">
              <w:rPr>
                <w:rFonts w:ascii="Calibri" w:hAnsi="Calibri" w:cs="Calibri"/>
                <w:color w:val="000000"/>
                <w:sz w:val="18"/>
                <w:szCs w:val="18"/>
                <w:lang w:eastAsia="cs-CZ"/>
              </w:rPr>
              <w:t>2011</w:t>
            </w:r>
          </w:p>
        </w:tc>
        <w:tc>
          <w:tcPr>
            <w:tcW w:w="1640" w:type="dxa"/>
            <w:gridSpan w:val="2"/>
            <w:tcBorders>
              <w:top w:val="nil"/>
              <w:left w:val="nil"/>
              <w:bottom w:val="nil"/>
              <w:right w:val="nil"/>
            </w:tcBorders>
            <w:shd w:val="clear" w:color="000000" w:fill="538ED5"/>
            <w:noWrap/>
            <w:vAlign w:val="bottom"/>
            <w:hideMark/>
          </w:tcPr>
          <w:p w:rsidR="00380B97" w:rsidRPr="00380B97" w:rsidRDefault="00380B97" w:rsidP="00380B97">
            <w:pPr>
              <w:suppressAutoHyphens w:val="0"/>
              <w:spacing w:after="0"/>
              <w:jc w:val="center"/>
              <w:rPr>
                <w:rFonts w:ascii="Calibri" w:hAnsi="Calibri" w:cs="Calibri"/>
                <w:color w:val="000000"/>
                <w:sz w:val="18"/>
                <w:szCs w:val="18"/>
                <w:lang w:eastAsia="cs-CZ"/>
              </w:rPr>
            </w:pPr>
            <w:r w:rsidRPr="00380B97">
              <w:rPr>
                <w:rFonts w:ascii="Calibri" w:hAnsi="Calibri" w:cs="Calibri"/>
                <w:color w:val="000000"/>
                <w:sz w:val="18"/>
                <w:szCs w:val="18"/>
                <w:lang w:eastAsia="cs-CZ"/>
              </w:rPr>
              <w:t>2012</w:t>
            </w:r>
          </w:p>
        </w:tc>
        <w:tc>
          <w:tcPr>
            <w:tcW w:w="1640" w:type="dxa"/>
            <w:gridSpan w:val="2"/>
            <w:tcBorders>
              <w:top w:val="nil"/>
              <w:left w:val="nil"/>
              <w:bottom w:val="nil"/>
              <w:right w:val="nil"/>
            </w:tcBorders>
            <w:shd w:val="clear" w:color="000000" w:fill="376091"/>
            <w:noWrap/>
            <w:vAlign w:val="bottom"/>
            <w:hideMark/>
          </w:tcPr>
          <w:p w:rsidR="00380B97" w:rsidRPr="00380B97" w:rsidRDefault="00380B97" w:rsidP="00380B97">
            <w:pPr>
              <w:suppressAutoHyphens w:val="0"/>
              <w:spacing w:after="0"/>
              <w:jc w:val="center"/>
              <w:rPr>
                <w:rFonts w:ascii="Calibri" w:hAnsi="Calibri" w:cs="Calibri"/>
                <w:color w:val="000000"/>
                <w:sz w:val="18"/>
                <w:szCs w:val="18"/>
                <w:lang w:eastAsia="cs-CZ"/>
              </w:rPr>
            </w:pPr>
            <w:r w:rsidRPr="00380B97">
              <w:rPr>
                <w:rFonts w:ascii="Calibri" w:hAnsi="Calibri" w:cs="Calibri"/>
                <w:color w:val="000000"/>
                <w:sz w:val="18"/>
                <w:szCs w:val="18"/>
                <w:lang w:eastAsia="cs-CZ"/>
              </w:rPr>
              <w:t>2013</w:t>
            </w:r>
          </w:p>
        </w:tc>
      </w:tr>
      <w:tr w:rsidR="00380B97" w:rsidRPr="00380B97" w:rsidTr="00380B97">
        <w:trPr>
          <w:trHeight w:val="240"/>
        </w:trPr>
        <w:tc>
          <w:tcPr>
            <w:tcW w:w="1960" w:type="dxa"/>
            <w:vMerge/>
            <w:tcBorders>
              <w:top w:val="nil"/>
              <w:left w:val="nil"/>
              <w:bottom w:val="nil"/>
              <w:right w:val="nil"/>
            </w:tcBorders>
            <w:vAlign w:val="center"/>
            <w:hideMark/>
          </w:tcPr>
          <w:p w:rsidR="00380B97" w:rsidRPr="00380B97" w:rsidRDefault="00380B97" w:rsidP="00380B97">
            <w:pPr>
              <w:suppressAutoHyphens w:val="0"/>
              <w:spacing w:after="0"/>
              <w:jc w:val="left"/>
              <w:rPr>
                <w:rFonts w:ascii="Calibri" w:hAnsi="Calibri" w:cs="Calibri"/>
                <w:color w:val="000000"/>
                <w:sz w:val="18"/>
                <w:szCs w:val="18"/>
                <w:lang w:eastAsia="cs-CZ"/>
              </w:rPr>
            </w:pPr>
          </w:p>
        </w:tc>
        <w:tc>
          <w:tcPr>
            <w:tcW w:w="820" w:type="dxa"/>
            <w:tcBorders>
              <w:top w:val="nil"/>
              <w:left w:val="nil"/>
              <w:bottom w:val="nil"/>
              <w:right w:val="nil"/>
            </w:tcBorders>
            <w:shd w:val="clear" w:color="000000" w:fill="D7E4BC"/>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Výdaje</w:t>
            </w:r>
          </w:p>
        </w:tc>
        <w:tc>
          <w:tcPr>
            <w:tcW w:w="820" w:type="dxa"/>
            <w:tcBorders>
              <w:top w:val="nil"/>
              <w:left w:val="nil"/>
              <w:bottom w:val="nil"/>
              <w:right w:val="nil"/>
            </w:tcBorders>
            <w:shd w:val="clear" w:color="000000" w:fill="D7E4BC"/>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Příjmy</w:t>
            </w:r>
          </w:p>
        </w:tc>
        <w:tc>
          <w:tcPr>
            <w:tcW w:w="820" w:type="dxa"/>
            <w:tcBorders>
              <w:top w:val="nil"/>
              <w:left w:val="nil"/>
              <w:bottom w:val="nil"/>
              <w:right w:val="nil"/>
            </w:tcBorders>
            <w:shd w:val="clear" w:color="000000" w:fill="E6B9B8"/>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Výdaje</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Benátky</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4.686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2.889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4.473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2.515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4.074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3.848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4.344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4.574</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Bohuňovice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1.649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1.381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1.859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1.988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1.757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1.648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1.907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1.793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Bor u Skutče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1.881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1.336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14.664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17.139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7.811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6.875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2.124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1.945</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Bučina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2.734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2.105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2.699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1.968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2.837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2.173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3.021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4.388</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Budislav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5.120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5.170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6.915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5.478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5.710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6.028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7.009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6.884</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Cerekvice nad Loučnou</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11.006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14.366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17.492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17.433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12.992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9.769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13.124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10.387</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České Heřmanice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8.880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8.336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5.730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5.621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10.161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10.497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7.752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6.056</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Čistá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17.335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20.347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21.012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30.000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15.402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11.101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15.699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11.444</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Desná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3.507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3.272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4.175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2.508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3.328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3.281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5.367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6.810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Dolní Újezd</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35.520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35.656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60.200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60.971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81.285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101.440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39.825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33.702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Hluboká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2.807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2.845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3.316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2.847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2.434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3.197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2.820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Horky</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3.251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2.924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3.400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3.096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1.015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1.539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1.245</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Horní Újezd</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4.776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4.757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4.684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4.654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5.406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5.697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5.352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13.082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Hrušová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4.732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7.992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3.143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3.530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2.113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4.208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4.311</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Chmelík</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2.820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1.794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3.203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2.220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2.996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2.497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5.752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7.406</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Chotěnov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2.150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2.768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1.854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2.022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2.804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2.713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2.148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2.210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Chotovice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1.199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1.491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1.314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1.599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2.077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1.955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5.776</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Janov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16.904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14.090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14.875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15.287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17.885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16.013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16.638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14.512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Jarošov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2.498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2.136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6.757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4.717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4.480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6.637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4.127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4.766</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Javorník</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4.579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3.068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2.668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2.331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2.651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2.551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3.101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1/920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Leština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12.442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10.016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3.779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4.265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3.760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4.650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4.836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3.243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Libecina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2.157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1.886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1.451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2.028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1.506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2.934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2.204</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Litomyšl</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331.140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383.800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306.548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290.601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291.727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274.742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305.362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289.157</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Lubná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11.393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10.552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11.920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12.774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11.972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10.611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14.587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12.195</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Makov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3.868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4.358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4.043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2.932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4.017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4.164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5.179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5.430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lastRenderedPageBreak/>
              <w:t>Morašice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9.588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9.461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9.309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8.807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8.982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10.032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10.616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8.611</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Němčice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17.738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10.460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11.478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11.889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10.466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10.121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12.853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12.107</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Nová Sídla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2.174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2.036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2.109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2.078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2.802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2.166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2.509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1.649</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Nová Ves u Jarošova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1.226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1.204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1.093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1.218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1.385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1.330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1.061</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Nové Hrady</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21.472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20.289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6.086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3.558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4.198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3.880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5.702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5.572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Osík</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19.626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11.172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10.401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10.753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11.972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12.305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12.821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13.568</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Otradov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2.691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3.556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2.507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2.523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2.676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2.272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3.050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2.723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Perálec</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11.447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2.625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4.428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3.770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4.027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3.994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3.817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3.170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Poříčí u Litomyšle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18.034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14.027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13.130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10.925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18.431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20.634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6.325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5.950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Proseč</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40.006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35.893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35.729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33.861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31.826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28.776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41.264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37.653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Příluka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2.419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1.447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2.338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2.354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2.254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2.776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2.308</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Pustina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956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906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930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813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1.183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1.225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1320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Řídký</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922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588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1.177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991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969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448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1.175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781</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Sebranice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10.188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10.300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14.753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11.416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10.462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12.791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16.083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14.701</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Sedliště</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2.196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2.376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1.555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2.158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1.716</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2.734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1.323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Sloupnice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18.747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16.613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25.028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31.031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18.041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15.174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42.604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46.589</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Strakov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4.888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6.273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4.021</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2.570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3.154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3.581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3.976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2.830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Suchá Lhota</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1.407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1.184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1.265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975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1.217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1.354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1.105</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Tisová</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17.896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20.751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8.028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9.254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6.990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6.841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7.692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6.683</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Trstěnice</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22.325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24.960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7.952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7.361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7.893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8.360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10.225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7.289</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Tržek</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1.523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1.173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1.425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1.117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2.765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2.910</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Újezdec</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1.148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1.492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2.005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2.403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1.858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2.598</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Vidlatá Seč</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3.347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2.920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3.520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3.993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3.675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3.129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3.968</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3.462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Vlčkov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1.104</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1.560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970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4.349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4.036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937</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1.282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792</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Vračovice-Orlov</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1.996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1.660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2.057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1.851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1.518</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2.182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1.549</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Vysoké Mýto</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422.183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389.583</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286.489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298.080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205.293</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198.095</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232.515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214.855</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Zádolí</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924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1.005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1.100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1.085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810</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1.359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896</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Zálší</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3.036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2.401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2.986</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2.882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2.939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2.584</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3.942</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2.348</w:t>
            </w:r>
          </w:p>
        </w:tc>
      </w:tr>
      <w:tr w:rsidR="00380B97" w:rsidRPr="00380B97" w:rsidTr="00380B97">
        <w:trPr>
          <w:trHeight w:val="240"/>
        </w:trPr>
        <w:tc>
          <w:tcPr>
            <w:tcW w:w="1960" w:type="dxa"/>
            <w:tcBorders>
              <w:top w:val="nil"/>
              <w:left w:val="nil"/>
              <w:bottom w:val="nil"/>
              <w:right w:val="nil"/>
            </w:tcBorders>
            <w:shd w:val="clear" w:color="000000" w:fill="C5D9F1"/>
            <w:noWrap/>
            <w:vAlign w:val="bottom"/>
            <w:hideMark/>
          </w:tcPr>
          <w:p w:rsidR="00380B97" w:rsidRPr="00380B97" w:rsidRDefault="00380B97" w:rsidP="00380B97">
            <w:pPr>
              <w:suppressAutoHyphens w:val="0"/>
              <w:spacing w:after="0"/>
              <w:jc w:val="left"/>
              <w:rPr>
                <w:rFonts w:ascii="Calibri" w:hAnsi="Calibri" w:cs="Calibri"/>
                <w:color w:val="000000"/>
                <w:sz w:val="18"/>
                <w:szCs w:val="18"/>
                <w:lang w:eastAsia="cs-CZ"/>
              </w:rPr>
            </w:pPr>
            <w:r w:rsidRPr="00380B97">
              <w:rPr>
                <w:rFonts w:ascii="Calibri" w:hAnsi="Calibri" w:cs="Calibri"/>
                <w:color w:val="000000"/>
                <w:sz w:val="18"/>
                <w:szCs w:val="18"/>
                <w:lang w:eastAsia="cs-CZ"/>
              </w:rPr>
              <w:t>Zderaz</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3.539</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2.771</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4.000</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2.849</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5.095</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3.222</w:t>
            </w:r>
          </w:p>
        </w:tc>
        <w:tc>
          <w:tcPr>
            <w:tcW w:w="820" w:type="dxa"/>
            <w:tcBorders>
              <w:top w:val="nil"/>
              <w:left w:val="nil"/>
              <w:bottom w:val="nil"/>
              <w:right w:val="nil"/>
            </w:tcBorders>
            <w:shd w:val="clear" w:color="000000" w:fill="EAF1DD"/>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13.517</w:t>
            </w:r>
          </w:p>
        </w:tc>
        <w:tc>
          <w:tcPr>
            <w:tcW w:w="820" w:type="dxa"/>
            <w:tcBorders>
              <w:top w:val="nil"/>
              <w:left w:val="nil"/>
              <w:bottom w:val="nil"/>
              <w:right w:val="nil"/>
            </w:tcBorders>
            <w:shd w:val="clear" w:color="000000" w:fill="F2DDDC"/>
            <w:noWrap/>
            <w:vAlign w:val="bottom"/>
            <w:hideMark/>
          </w:tcPr>
          <w:p w:rsidR="00380B97" w:rsidRPr="00380B97" w:rsidRDefault="00380B97" w:rsidP="00380B97">
            <w:pPr>
              <w:suppressAutoHyphens w:val="0"/>
              <w:spacing w:after="0"/>
              <w:jc w:val="right"/>
              <w:rPr>
                <w:rFonts w:ascii="Calibri" w:hAnsi="Calibri" w:cs="Calibri"/>
                <w:color w:val="000000"/>
                <w:sz w:val="18"/>
                <w:szCs w:val="18"/>
                <w:lang w:eastAsia="cs-CZ"/>
              </w:rPr>
            </w:pPr>
            <w:r w:rsidRPr="00380B97">
              <w:rPr>
                <w:rFonts w:ascii="Calibri" w:hAnsi="Calibri" w:cs="Calibri"/>
                <w:color w:val="000000"/>
                <w:sz w:val="18"/>
                <w:szCs w:val="18"/>
                <w:lang w:eastAsia="cs-CZ"/>
              </w:rPr>
              <w:t>16.173</w:t>
            </w:r>
          </w:p>
        </w:tc>
      </w:tr>
    </w:tbl>
    <w:p w:rsidR="00380B97" w:rsidRPr="001C5907" w:rsidRDefault="00380B97" w:rsidP="001C5907">
      <w:pPr>
        <w:rPr>
          <w:lang w:eastAsia="cs-CZ"/>
        </w:rPr>
      </w:pPr>
    </w:p>
    <w:p w:rsidR="001C5907" w:rsidRPr="001C5907" w:rsidRDefault="001C5907" w:rsidP="001C5907">
      <w:pPr>
        <w:rPr>
          <w:lang w:eastAsia="cs-CZ"/>
        </w:rPr>
      </w:pPr>
      <w:r w:rsidRPr="001C5907">
        <w:rPr>
          <w:lang w:eastAsia="cs-CZ"/>
        </w:rPr>
        <w:t xml:space="preserve">Strategická implementace by se tedy měla vyrovnat s dosavadní nedostatečností těch nejmenších obcí a také malých subjektů včetně mikropodniků. Z těchto příčin musí mít rozvojové záměry silnou synergii na existující statky a podmínky, aby i s nižším rozpočtem dosahovaly účinnosti a hospodárnosti. K tomu patří rozumně stanovený podíl vlastního finančního příspěvku, pokud to půjde, i pro NNO. Co se týká podpor, které by administrovala MAS, pak by měly být vypláceny až po prokázání věcného a finančního plnění ze strany podpořených subjektů. </w:t>
      </w:r>
    </w:p>
    <w:p w:rsidR="001C5907" w:rsidRPr="001C5907" w:rsidRDefault="001C5907" w:rsidP="001C5907">
      <w:pPr>
        <w:rPr>
          <w:lang w:eastAsia="cs-CZ"/>
        </w:rPr>
      </w:pPr>
      <w:r w:rsidRPr="001C5907">
        <w:rPr>
          <w:lang w:eastAsia="cs-CZ"/>
        </w:rPr>
        <w:t xml:space="preserve">Vzhledem k tomu, jak se vyvíjí praxe přípustnosti, resp. vymezování případů tzv. veřejné podpory, musí MAS počítat s tím, že některé záměry budou v působnosti některých Nařízení ES (nyní 800/2006). Pro takové případy MAS použije výhradně veřejnou podporu v režimu „de minimis.“ Výhodou pro strategii bude: </w:t>
      </w:r>
    </w:p>
    <w:p w:rsidR="001C5907" w:rsidRPr="001C5907" w:rsidRDefault="001C5907" w:rsidP="00A60AC9">
      <w:pPr>
        <w:pStyle w:val="Odstavecseseznamem"/>
        <w:numPr>
          <w:ilvl w:val="0"/>
          <w:numId w:val="54"/>
        </w:numPr>
        <w:rPr>
          <w:lang w:eastAsia="cs-CZ"/>
        </w:rPr>
      </w:pPr>
      <w:r w:rsidRPr="001C5907">
        <w:rPr>
          <w:lang w:eastAsia="cs-CZ"/>
        </w:rPr>
        <w:t xml:space="preserve">záměry, resp. projekty nemusí být výhradně investiční, tj. mohou se skládat z potřebných výdajů na investice i tzv. opatření, která MAS stanoví; </w:t>
      </w:r>
    </w:p>
    <w:p w:rsidR="001C5907" w:rsidRPr="001C5907" w:rsidRDefault="001C5907" w:rsidP="00A60AC9">
      <w:pPr>
        <w:pStyle w:val="Odstavecseseznamem"/>
        <w:numPr>
          <w:ilvl w:val="0"/>
          <w:numId w:val="54"/>
        </w:numPr>
        <w:rPr>
          <w:lang w:eastAsia="cs-CZ"/>
        </w:rPr>
      </w:pPr>
      <w:r w:rsidRPr="001C5907">
        <w:rPr>
          <w:lang w:eastAsia="cs-CZ"/>
        </w:rPr>
        <w:lastRenderedPageBreak/>
        <w:t xml:space="preserve">vlastní podíl podpořených subjektů se nemusí řídit mapou regionální investiční podpory, ale může být nižší, např. 20-30%; </w:t>
      </w:r>
    </w:p>
    <w:p w:rsidR="001C5907" w:rsidRPr="001C5907" w:rsidRDefault="001C5907" w:rsidP="00A60AC9">
      <w:pPr>
        <w:pStyle w:val="Odstavecseseznamem"/>
        <w:numPr>
          <w:ilvl w:val="0"/>
          <w:numId w:val="54"/>
        </w:numPr>
        <w:rPr>
          <w:lang w:eastAsia="cs-CZ"/>
        </w:rPr>
      </w:pPr>
      <w:r w:rsidRPr="001C5907">
        <w:rPr>
          <w:lang w:eastAsia="cs-CZ"/>
        </w:rPr>
        <w:t xml:space="preserve">poskytovatel může připustit některé výdaje, např. pro počáteční fáze záměru a může volněji pracovat s formální udržitelností výstupů. </w:t>
      </w:r>
    </w:p>
    <w:p w:rsidR="001C5907" w:rsidRPr="001C5907" w:rsidRDefault="001C5907" w:rsidP="001C5907">
      <w:pPr>
        <w:rPr>
          <w:lang w:eastAsia="cs-CZ"/>
        </w:rPr>
      </w:pPr>
      <w:r w:rsidRPr="001C5907">
        <w:rPr>
          <w:lang w:eastAsia="cs-CZ"/>
        </w:rPr>
        <w:t xml:space="preserve">Nejde přitom o maličkosti, protože do působnosti veřejné podpory mohou spadat také projekty obcí a NNO. MAS se naopak nebude zabývat záměry nebo podporami typu tzv. přímé podpory, věcného (hmotného) plnění atp. </w:t>
      </w:r>
    </w:p>
    <w:p w:rsidR="001C5907" w:rsidRPr="001C5907" w:rsidRDefault="001C5907" w:rsidP="001C5907">
      <w:pPr>
        <w:rPr>
          <w:lang w:eastAsia="cs-CZ"/>
        </w:rPr>
      </w:pPr>
      <w:r w:rsidRPr="001C5907">
        <w:rPr>
          <w:lang w:eastAsia="cs-CZ"/>
        </w:rPr>
        <w:t xml:space="preserve">Pokud se uplatní uvedené principy, můžeme požadavky na subjekty, které se budou chtít na rozvoji podílet jako podpořené osoby, rámcově stanovit takto: </w:t>
      </w:r>
    </w:p>
    <w:p w:rsidR="001C5907" w:rsidRPr="001C5907" w:rsidRDefault="001C5907" w:rsidP="00A60AC9">
      <w:pPr>
        <w:pStyle w:val="Odstavecseseznamem"/>
        <w:numPr>
          <w:ilvl w:val="0"/>
          <w:numId w:val="54"/>
        </w:numPr>
        <w:rPr>
          <w:lang w:eastAsia="cs-CZ"/>
        </w:rPr>
      </w:pPr>
      <w:r w:rsidRPr="001C5907">
        <w:rPr>
          <w:lang w:eastAsia="cs-CZ"/>
        </w:rPr>
        <w:t xml:space="preserve">připravit spíše rozpočtově střídmé a realizačně kratší záměry, počínaje objemy cca od 100.000 Kč; </w:t>
      </w:r>
    </w:p>
    <w:p w:rsidR="001C5907" w:rsidRPr="001C5907" w:rsidRDefault="001C5907" w:rsidP="00A60AC9">
      <w:pPr>
        <w:pStyle w:val="Odstavecseseznamem"/>
        <w:numPr>
          <w:ilvl w:val="0"/>
          <w:numId w:val="54"/>
        </w:numPr>
        <w:rPr>
          <w:lang w:eastAsia="cs-CZ"/>
        </w:rPr>
      </w:pPr>
      <w:r w:rsidRPr="001C5907">
        <w:rPr>
          <w:lang w:eastAsia="cs-CZ"/>
        </w:rPr>
        <w:t xml:space="preserve">mít disponibilní zdroje k pokrytí celé akce před refundací podílu podpory; </w:t>
      </w:r>
    </w:p>
    <w:p w:rsidR="001C5907" w:rsidRPr="001C5907" w:rsidRDefault="001C5907" w:rsidP="00A60AC9">
      <w:pPr>
        <w:pStyle w:val="Odstavecseseznamem"/>
        <w:numPr>
          <w:ilvl w:val="0"/>
          <w:numId w:val="54"/>
        </w:numPr>
        <w:rPr>
          <w:lang w:eastAsia="cs-CZ"/>
        </w:rPr>
      </w:pPr>
      <w:r w:rsidRPr="001C5907">
        <w:rPr>
          <w:lang w:eastAsia="cs-CZ"/>
        </w:rPr>
        <w:t xml:space="preserve">používat jednodušší formy výběrových řízení dle ZVZ; </w:t>
      </w:r>
    </w:p>
    <w:p w:rsidR="001C5907" w:rsidRPr="001C5907" w:rsidRDefault="001C5907" w:rsidP="00A60AC9">
      <w:pPr>
        <w:pStyle w:val="Odstavecseseznamem"/>
        <w:numPr>
          <w:ilvl w:val="0"/>
          <w:numId w:val="54"/>
        </w:numPr>
        <w:rPr>
          <w:lang w:eastAsia="cs-CZ"/>
        </w:rPr>
      </w:pPr>
      <w:r w:rsidRPr="001C5907">
        <w:rPr>
          <w:lang w:eastAsia="cs-CZ"/>
        </w:rPr>
        <w:t xml:space="preserve">mít na zřeteli, že bez ideové či programové složky jsou fyzické výstupy méně prospěšné a hůře udržitelné pro ty, kterým mají sloužit; </w:t>
      </w:r>
    </w:p>
    <w:p w:rsidR="001C5907" w:rsidRPr="000A74F1" w:rsidRDefault="001C5907" w:rsidP="009F4D7F">
      <w:pPr>
        <w:rPr>
          <w:lang w:eastAsia="cs-CZ"/>
        </w:rPr>
      </w:pPr>
      <w:r w:rsidRPr="001C5907">
        <w:rPr>
          <w:lang w:eastAsia="cs-CZ"/>
        </w:rPr>
        <w:t>Potom pro MAS platí úkoly, jak dostat do praxe principy a priority</w:t>
      </w:r>
      <w:r w:rsidR="008E3058">
        <w:rPr>
          <w:lang w:eastAsia="cs-CZ"/>
        </w:rPr>
        <w:t xml:space="preserve"> uvedené na počátku této části.</w:t>
      </w:r>
    </w:p>
    <w:p w:rsidR="00B50E8D" w:rsidRDefault="00B50E8D" w:rsidP="000A74F1">
      <w:pPr>
        <w:pStyle w:val="Nadpis1"/>
        <w:ind w:left="431" w:hanging="431"/>
      </w:pPr>
      <w:bookmarkStart w:id="76" w:name="_Toc430006546"/>
      <w:r>
        <w:lastRenderedPageBreak/>
        <w:t>Implementační část</w:t>
      </w:r>
      <w:bookmarkEnd w:id="76"/>
    </w:p>
    <w:p w:rsidR="00A92273" w:rsidRDefault="00A92273" w:rsidP="00A92273">
      <w:pPr>
        <w:pStyle w:val="Nadpis2"/>
        <w:spacing w:after="0"/>
      </w:pPr>
      <w:bookmarkStart w:id="77" w:name="_Toc406672094"/>
      <w:bookmarkStart w:id="78" w:name="_Toc430006547"/>
      <w:r>
        <w:t>Podmínky kladené na MAS</w:t>
      </w:r>
      <w:bookmarkEnd w:id="77"/>
      <w:bookmarkEnd w:id="78"/>
    </w:p>
    <w:p w:rsidR="00A92273" w:rsidRDefault="00A92273" w:rsidP="00A92273">
      <w:r>
        <w:t>Nedílnou součástí implementace strategie rozvoje území je nastavení odpovídajícícho implementačního aparátu a odpovídající institucionalizace MAS. Zakladní podmínky ke struktuře a procesům MAS stanovuje METODIKA PRO STANDARDIZACI MÍSTNÍCH AKČNÍCH SKUPIN V PROGRAMOVÉM OBDOBÍ 2014-2020, která je hlavním zdrojem pro tuto část. MAS Litomyšlsko bude tato pravidla implementovat v níže uvedené podobě. Konkrétněji je implementace podmínek, podoba a procesy MAS rozvedena v dalších částech tohoto dokumentu.</w:t>
      </w:r>
    </w:p>
    <w:p w:rsidR="00A92273" w:rsidRPr="00EF0D2F" w:rsidRDefault="00A92273" w:rsidP="00A92273"/>
    <w:p w:rsidR="00A92273" w:rsidRPr="009047CB" w:rsidRDefault="00A92273" w:rsidP="00A92273">
      <w:pPr>
        <w:rPr>
          <w:b/>
        </w:rPr>
      </w:pPr>
      <w:r>
        <w:rPr>
          <w:b/>
        </w:rPr>
        <w:t>Místní akční skupina</w:t>
      </w:r>
      <w:r>
        <w:rPr>
          <w:rStyle w:val="Znakapoznpodarou"/>
          <w:b/>
        </w:rPr>
        <w:footnoteReference w:id="42"/>
      </w:r>
    </w:p>
    <w:p w:rsidR="00A92273" w:rsidRDefault="00A92273" w:rsidP="00A60AC9">
      <w:pPr>
        <w:pStyle w:val="Odstavecseseznamem"/>
        <w:numPr>
          <w:ilvl w:val="0"/>
          <w:numId w:val="77"/>
        </w:numPr>
        <w:spacing w:after="0" w:line="276" w:lineRule="auto"/>
      </w:pPr>
      <w:r>
        <w:t xml:space="preserve">MAS je tvořena partnery MAS, kteří zastupují veřejné a soukromé místní socioekonomické zájmy. Na rozhodovací úrovni ani veřejný sektor ani žádná z jednotlivých zájmových skupin nepředstavuje více než 49 % hlasovacích práv. </w:t>
      </w:r>
    </w:p>
    <w:p w:rsidR="00A92273" w:rsidRDefault="00A92273" w:rsidP="00A60AC9">
      <w:pPr>
        <w:pStyle w:val="Odstavecseseznamem"/>
        <w:numPr>
          <w:ilvl w:val="0"/>
          <w:numId w:val="77"/>
        </w:numPr>
        <w:spacing w:after="0" w:line="276" w:lineRule="auto"/>
      </w:pPr>
      <w:r>
        <w:t>Partneři MAS musí mít na území působnosti MAS trvalé bydliště, sídlo nebo provozovnu nebo musí prokazatelně na daném území místně působit.</w:t>
      </w:r>
    </w:p>
    <w:p w:rsidR="00A92273" w:rsidRDefault="00A92273" w:rsidP="00A60AC9">
      <w:pPr>
        <w:pStyle w:val="Odstavecseseznamem"/>
        <w:numPr>
          <w:ilvl w:val="0"/>
          <w:numId w:val="77"/>
        </w:numPr>
        <w:spacing w:after="0" w:line="276" w:lineRule="auto"/>
      </w:pPr>
      <w:r>
        <w:t xml:space="preserve">MAS je otevřeným partnerstvím. Všechny podmínky pro přistoupení partnerů vč. práv a povinností partnera jsou uvedeny ve stanovách nebo zakládací listině či statutu a jsou zveřejněny na internetových stránkách MAS. </w:t>
      </w:r>
    </w:p>
    <w:p w:rsidR="00A92273" w:rsidRDefault="00A92273" w:rsidP="00A60AC9">
      <w:pPr>
        <w:pStyle w:val="Odstavecseseznamem"/>
        <w:numPr>
          <w:ilvl w:val="0"/>
          <w:numId w:val="77"/>
        </w:numPr>
        <w:spacing w:after="0" w:line="276" w:lineRule="auto"/>
      </w:pPr>
      <w:r>
        <w:t>Počet partnerů MAS je nejméně 21. V MAS pokrývajících území s počtem obyvatel nad 41 999 (počet obyvatel ke dni 1. 1. 2014 dle ČSÚ) je počet partnerů nastaven tak, aby na 1 partnera připadlo maximálně 2 000 obyvatel.</w:t>
      </w:r>
    </w:p>
    <w:p w:rsidR="00A92273" w:rsidRDefault="00A92273" w:rsidP="00A92273"/>
    <w:p w:rsidR="00A92273" w:rsidRPr="009047CB" w:rsidRDefault="00A92273" w:rsidP="00A92273">
      <w:pPr>
        <w:rPr>
          <w:b/>
        </w:rPr>
      </w:pPr>
      <w:r w:rsidRPr="009047CB">
        <w:rPr>
          <w:b/>
        </w:rPr>
        <w:t xml:space="preserve">Orgány MAS </w:t>
      </w:r>
    </w:p>
    <w:p w:rsidR="00A92273" w:rsidRDefault="00A92273" w:rsidP="00A60AC9">
      <w:pPr>
        <w:pStyle w:val="Odstavecseseznamem"/>
        <w:numPr>
          <w:ilvl w:val="0"/>
          <w:numId w:val="78"/>
        </w:numPr>
        <w:spacing w:after="0" w:line="276" w:lineRule="auto"/>
      </w:pPr>
      <w:r>
        <w:lastRenderedPageBreak/>
        <w:t xml:space="preserve">MAS má vytvořeny vlastní orgány – nejvyšší orgán a dále orgány plnící minimálně tyto funkce: rozhodovací, výběrovou a kontrolní. </w:t>
      </w:r>
    </w:p>
    <w:p w:rsidR="00A92273" w:rsidRDefault="00A92273" w:rsidP="00A60AC9">
      <w:pPr>
        <w:pStyle w:val="Odstavecseseznamem"/>
        <w:numPr>
          <w:ilvl w:val="0"/>
          <w:numId w:val="78"/>
        </w:numPr>
        <w:spacing w:after="0" w:line="276" w:lineRule="auto"/>
      </w:pPr>
      <w:r>
        <w:t xml:space="preserve">Jeden partner může být kromě nejvyššího orgánu členem pouze jednoho povinného orgánu. </w:t>
      </w:r>
    </w:p>
    <w:p w:rsidR="00A92273" w:rsidRDefault="00A92273" w:rsidP="00A92273"/>
    <w:p w:rsidR="00A92273" w:rsidRPr="009047CB" w:rsidRDefault="00A92273" w:rsidP="00A92273">
      <w:pPr>
        <w:ind w:left="360"/>
        <w:rPr>
          <w:b/>
        </w:rPr>
      </w:pPr>
      <w:r w:rsidRPr="009047CB">
        <w:rPr>
          <w:b/>
        </w:rPr>
        <w:t xml:space="preserve">NEJVYŠŠÍ ORGÁN </w:t>
      </w:r>
    </w:p>
    <w:p w:rsidR="00A92273" w:rsidRDefault="00A92273" w:rsidP="00A60AC9">
      <w:pPr>
        <w:pStyle w:val="Odstavecseseznamem"/>
        <w:numPr>
          <w:ilvl w:val="0"/>
          <w:numId w:val="79"/>
        </w:numPr>
        <w:spacing w:after="0" w:line="276" w:lineRule="auto"/>
        <w:ind w:left="709"/>
      </w:pPr>
      <w:r>
        <w:t xml:space="preserve">Je tvořen všemi partnery MAS, přičemž veřejný sektor ani žádná ze zájmových skupin nepředstavuje více než 49 % hlasovacích práv. </w:t>
      </w:r>
    </w:p>
    <w:p w:rsidR="00A92273" w:rsidRDefault="00A92273" w:rsidP="00A60AC9">
      <w:pPr>
        <w:pStyle w:val="Odstavecseseznamem"/>
        <w:numPr>
          <w:ilvl w:val="0"/>
          <w:numId w:val="79"/>
        </w:numPr>
        <w:spacing w:after="0" w:line="276" w:lineRule="auto"/>
        <w:ind w:left="709"/>
      </w:pPr>
      <w:r>
        <w:t xml:space="preserve">Jeho jednání je upraveno jednacím řádem. Je-li partnerem MAS právnická osoba, zmocní fyzickou osobu, aby ji v orgánu zastupovala, jinak právnickou osobu zastupuje člen jejího statutárního orgánu. </w:t>
      </w:r>
    </w:p>
    <w:p w:rsidR="00A92273" w:rsidRDefault="00A92273" w:rsidP="00A60AC9">
      <w:pPr>
        <w:pStyle w:val="Odstavecseseznamem"/>
        <w:numPr>
          <w:ilvl w:val="0"/>
          <w:numId w:val="79"/>
        </w:numPr>
        <w:spacing w:after="0" w:line="276" w:lineRule="auto"/>
        <w:ind w:left="709"/>
      </w:pPr>
      <w:r>
        <w:t xml:space="preserve">Nejvyšší orgán je usnášeníschopný, je-li přítomna nadpoloviční většina partnerů MAS. Pro přijetí rozhodnutí je třeba souhlasu většiny přítomných. </w:t>
      </w:r>
    </w:p>
    <w:p w:rsidR="00A92273" w:rsidRDefault="00A92273" w:rsidP="00A92273">
      <w:pPr>
        <w:ind w:left="360"/>
      </w:pPr>
    </w:p>
    <w:p w:rsidR="00A92273" w:rsidRDefault="00A92273" w:rsidP="00A92273">
      <w:pPr>
        <w:ind w:left="360"/>
      </w:pPr>
      <w:r>
        <w:t xml:space="preserve">Do jeho kompetence spadá zejména: </w:t>
      </w:r>
    </w:p>
    <w:p w:rsidR="00A92273" w:rsidRDefault="00A92273" w:rsidP="00A60AC9">
      <w:pPr>
        <w:pStyle w:val="Odstavecseseznamem"/>
        <w:numPr>
          <w:ilvl w:val="0"/>
          <w:numId w:val="80"/>
        </w:numPr>
        <w:spacing w:after="0" w:line="276" w:lineRule="auto"/>
        <w:ind w:left="709"/>
      </w:pPr>
      <w:r>
        <w:t xml:space="preserve">schválení svého jednacího řádu a dalších vnitřních předpisů MAS, pokud nejsou právním řádem nebo rozhodnutím Nejvyššího orgánu svěřeny jinému orgánu MAS, </w:t>
      </w:r>
    </w:p>
    <w:p w:rsidR="00A92273" w:rsidRDefault="00A92273" w:rsidP="00A60AC9">
      <w:pPr>
        <w:pStyle w:val="Odstavecseseznamem"/>
        <w:numPr>
          <w:ilvl w:val="0"/>
          <w:numId w:val="80"/>
        </w:numPr>
        <w:spacing w:after="0" w:line="276" w:lineRule="auto"/>
        <w:ind w:left="709"/>
      </w:pPr>
      <w:r>
        <w:t xml:space="preserve">nese zodpovědnost za distribuci veřejných prostředků a provádění SCLLD v území působnosti MAS, </w:t>
      </w:r>
    </w:p>
    <w:p w:rsidR="00A92273" w:rsidRDefault="00A92273" w:rsidP="00A60AC9">
      <w:pPr>
        <w:pStyle w:val="Odstavecseseznamem"/>
        <w:numPr>
          <w:ilvl w:val="0"/>
          <w:numId w:val="80"/>
        </w:numPr>
        <w:spacing w:after="0" w:line="276" w:lineRule="auto"/>
        <w:ind w:left="709"/>
      </w:pPr>
      <w:r>
        <w:t xml:space="preserve">zřízení povinných orgánů: rozhodovací orgán, kontrolní orgán, výběrový orgán, </w:t>
      </w:r>
    </w:p>
    <w:p w:rsidR="00A92273" w:rsidRDefault="00A92273" w:rsidP="00A60AC9">
      <w:pPr>
        <w:pStyle w:val="Odstavecseseznamem"/>
        <w:numPr>
          <w:ilvl w:val="0"/>
          <w:numId w:val="80"/>
        </w:numPr>
        <w:spacing w:after="0" w:line="276" w:lineRule="auto"/>
        <w:ind w:left="709"/>
      </w:pPr>
      <w:r>
        <w:t xml:space="preserve">volba členů orgánů MAS - počet členů povinných orgánů, jejich působnosti a pravomoci, způsob jejich volby a odvolávání a způsob jednání, </w:t>
      </w:r>
    </w:p>
    <w:p w:rsidR="00A92273" w:rsidRDefault="00A92273" w:rsidP="00A60AC9">
      <w:pPr>
        <w:pStyle w:val="Odstavecseseznamem"/>
        <w:numPr>
          <w:ilvl w:val="0"/>
          <w:numId w:val="80"/>
        </w:numPr>
        <w:spacing w:after="0" w:line="276" w:lineRule="auto"/>
        <w:ind w:left="709"/>
      </w:pPr>
      <w:r>
        <w:t xml:space="preserve">rozhoduje o přijetí nebo vyloučení partnera MAS (lze delegovat na jiný povinný orgán MAS, pokud je vymezeno ve stanovách, zakládací listině nebo statutu), </w:t>
      </w:r>
    </w:p>
    <w:p w:rsidR="00A92273" w:rsidRDefault="00A92273" w:rsidP="00A60AC9">
      <w:pPr>
        <w:pStyle w:val="Odstavecseseznamem"/>
        <w:numPr>
          <w:ilvl w:val="0"/>
          <w:numId w:val="80"/>
        </w:numPr>
        <w:spacing w:after="0" w:line="276" w:lineRule="auto"/>
        <w:ind w:left="709"/>
      </w:pPr>
      <w:r>
        <w:t xml:space="preserve">distribuce veřejných finančních prostředků - schvaluje SCLLD, schvaluje způsob hodnocení a výběru projektů, zejména výběrová kritéria pro výběr projektů, schvaluje rozpočet MAS (lze delegovat na jiný povinný orgán MAS, pokud je vymezeno ve stanovách, zakládací listině nebo statutu), </w:t>
      </w:r>
    </w:p>
    <w:p w:rsidR="00A92273" w:rsidRDefault="00A92273" w:rsidP="00A60AC9">
      <w:pPr>
        <w:pStyle w:val="Odstavecseseznamem"/>
        <w:numPr>
          <w:ilvl w:val="0"/>
          <w:numId w:val="80"/>
        </w:numPr>
        <w:spacing w:after="0" w:line="276" w:lineRule="auto"/>
        <w:ind w:left="709"/>
      </w:pPr>
      <w:r>
        <w:lastRenderedPageBreak/>
        <w:t xml:space="preserve">schvaluje výroční zprávu o činnosti a hospodaření MAS, </w:t>
      </w:r>
    </w:p>
    <w:p w:rsidR="00A92273" w:rsidRDefault="00A92273" w:rsidP="00A60AC9">
      <w:pPr>
        <w:pStyle w:val="Odstavecseseznamem"/>
        <w:numPr>
          <w:ilvl w:val="0"/>
          <w:numId w:val="80"/>
        </w:numPr>
        <w:spacing w:after="0" w:line="276" w:lineRule="auto"/>
        <w:ind w:left="709"/>
      </w:pPr>
      <w:r>
        <w:t xml:space="preserve">rozhoduje o fúzi nebo zrušení MAS. </w:t>
      </w:r>
    </w:p>
    <w:p w:rsidR="00A92273" w:rsidRDefault="00A92273" w:rsidP="00A92273">
      <w:pPr>
        <w:ind w:left="360"/>
      </w:pPr>
    </w:p>
    <w:p w:rsidR="00A92273" w:rsidRPr="009047CB" w:rsidRDefault="00A92273" w:rsidP="00A92273">
      <w:pPr>
        <w:ind w:left="360"/>
        <w:rPr>
          <w:b/>
        </w:rPr>
      </w:pPr>
      <w:r w:rsidRPr="009047CB">
        <w:rPr>
          <w:b/>
        </w:rPr>
        <w:t xml:space="preserve">ROZHODOVACÍ ORGÁN </w:t>
      </w:r>
    </w:p>
    <w:p w:rsidR="00A92273" w:rsidRDefault="00A92273" w:rsidP="00A60AC9">
      <w:pPr>
        <w:pStyle w:val="Odstavecseseznamem"/>
        <w:numPr>
          <w:ilvl w:val="0"/>
          <w:numId w:val="80"/>
        </w:numPr>
        <w:spacing w:after="0" w:line="276" w:lineRule="auto"/>
        <w:ind w:left="709"/>
      </w:pPr>
      <w:r>
        <w:t xml:space="preserve">Členové rozhodovacího orgánu musí být voleni z partnerů MAS, přičemž veřejný sektor ani žádná ze zájmových skupin nepředstavuje více než 49 % hlasovacích práv. </w:t>
      </w:r>
    </w:p>
    <w:p w:rsidR="00A92273" w:rsidRDefault="00A92273" w:rsidP="00A60AC9">
      <w:pPr>
        <w:pStyle w:val="Odstavecseseznamem"/>
        <w:numPr>
          <w:ilvl w:val="0"/>
          <w:numId w:val="80"/>
        </w:numPr>
        <w:spacing w:after="0" w:line="276" w:lineRule="auto"/>
        <w:ind w:left="709"/>
      </w:pPr>
      <w:r>
        <w:t xml:space="preserve">Při rozhodování je hlasovací právo členů rozhodovacího orgánu rovné. </w:t>
      </w:r>
    </w:p>
    <w:p w:rsidR="00A92273" w:rsidRDefault="00A92273" w:rsidP="00A60AC9">
      <w:pPr>
        <w:pStyle w:val="Odstavecseseznamem"/>
        <w:numPr>
          <w:ilvl w:val="0"/>
          <w:numId w:val="80"/>
        </w:numPr>
        <w:spacing w:after="0" w:line="276" w:lineRule="auto"/>
        <w:ind w:left="709"/>
      </w:pPr>
      <w:r>
        <w:t>Je-li členem rozhodovacího orgánu fyzická osoba, musí být svéprávná a bezúhonná ve smyslu právního předpisu upravujícího živnostenské podnikání. Je-li členem právnická osoba, musí tuto podmínku splňovat také ten, kdo tuto právnickou osobu zastupuje.</w:t>
      </w:r>
    </w:p>
    <w:p w:rsidR="00A92273" w:rsidRDefault="00A92273" w:rsidP="00A60AC9">
      <w:pPr>
        <w:pStyle w:val="Odstavecseseznamem"/>
        <w:numPr>
          <w:ilvl w:val="0"/>
          <w:numId w:val="80"/>
        </w:numPr>
        <w:spacing w:after="0" w:line="276" w:lineRule="auto"/>
        <w:ind w:left="709"/>
      </w:pPr>
      <w:r>
        <w:t xml:space="preserve">Rozhodovací orgán je usnášeníschopný, je-li přítomna nadpoloviční většina členů. Pro přijetí rozhodnutí je třeba souhlasu většiny přítomných. </w:t>
      </w:r>
    </w:p>
    <w:p w:rsidR="00A92273" w:rsidRDefault="00A92273" w:rsidP="00A60AC9">
      <w:pPr>
        <w:pStyle w:val="Odstavecseseznamem"/>
        <w:numPr>
          <w:ilvl w:val="0"/>
          <w:numId w:val="80"/>
        </w:numPr>
        <w:spacing w:after="0" w:line="276" w:lineRule="auto"/>
        <w:ind w:left="709"/>
      </w:pPr>
      <w:r>
        <w:t xml:space="preserve">Rozhodovací orgán volí předsedu z řad svých členů. Předseda svolává a řídí jeho zasedání. </w:t>
      </w:r>
    </w:p>
    <w:p w:rsidR="00A92273" w:rsidRDefault="00A92273" w:rsidP="00A92273">
      <w:pPr>
        <w:ind w:left="360"/>
      </w:pPr>
    </w:p>
    <w:p w:rsidR="00A92273" w:rsidRDefault="00A92273" w:rsidP="00A92273">
      <w:pPr>
        <w:ind w:left="360"/>
      </w:pPr>
      <w:r>
        <w:t xml:space="preserve">Do jeho kompetence spadá zejména: </w:t>
      </w:r>
    </w:p>
    <w:p w:rsidR="00A92273" w:rsidRDefault="00A92273" w:rsidP="00A60AC9">
      <w:pPr>
        <w:pStyle w:val="Odstavecseseznamem"/>
        <w:numPr>
          <w:ilvl w:val="0"/>
          <w:numId w:val="80"/>
        </w:numPr>
        <w:spacing w:after="0" w:line="276" w:lineRule="auto"/>
        <w:ind w:left="709"/>
      </w:pPr>
      <w:r>
        <w:t xml:space="preserve">schvaluje uzavření a ukončení pracovněprávního vztahu s vedoucím zaměstnancem pro realizaci SCLLD, </w:t>
      </w:r>
    </w:p>
    <w:p w:rsidR="00A92273" w:rsidRDefault="00A92273" w:rsidP="00A60AC9">
      <w:pPr>
        <w:pStyle w:val="Odstavecseseznamem"/>
        <w:numPr>
          <w:ilvl w:val="0"/>
          <w:numId w:val="80"/>
        </w:numPr>
        <w:spacing w:after="0" w:line="276" w:lineRule="auto"/>
        <w:ind w:left="709"/>
      </w:pPr>
      <w:r>
        <w:t xml:space="preserve">schvaluje výzvy k podávání žádostí, </w:t>
      </w:r>
    </w:p>
    <w:p w:rsidR="00A92273" w:rsidRDefault="00A92273" w:rsidP="00A60AC9">
      <w:pPr>
        <w:pStyle w:val="Odstavecseseznamem"/>
        <w:numPr>
          <w:ilvl w:val="0"/>
          <w:numId w:val="80"/>
        </w:numPr>
        <w:spacing w:after="0" w:line="276" w:lineRule="auto"/>
        <w:ind w:left="709"/>
      </w:pPr>
      <w:r>
        <w:t xml:space="preserve">vybírá projekty k realizaci a stanovuje výši alokace na projekty na základě návrhu výběrového orgánu, </w:t>
      </w:r>
    </w:p>
    <w:p w:rsidR="00A92273" w:rsidRDefault="00A92273" w:rsidP="00A60AC9">
      <w:pPr>
        <w:pStyle w:val="Odstavecseseznamem"/>
        <w:numPr>
          <w:ilvl w:val="0"/>
          <w:numId w:val="80"/>
        </w:numPr>
        <w:spacing w:after="0" w:line="276" w:lineRule="auto"/>
        <w:ind w:left="709"/>
      </w:pPr>
      <w:r>
        <w:t xml:space="preserve">svolává nejvyšší orgán minimálně jedenkrát ročně. </w:t>
      </w:r>
    </w:p>
    <w:p w:rsidR="00A92273" w:rsidRDefault="00A92273" w:rsidP="00A92273">
      <w:pPr>
        <w:ind w:left="360"/>
      </w:pPr>
    </w:p>
    <w:p w:rsidR="00A92273" w:rsidRPr="009047CB" w:rsidRDefault="00A92273" w:rsidP="00A92273">
      <w:pPr>
        <w:ind w:left="360"/>
        <w:rPr>
          <w:b/>
        </w:rPr>
      </w:pPr>
      <w:r w:rsidRPr="009047CB">
        <w:rPr>
          <w:b/>
        </w:rPr>
        <w:t xml:space="preserve">VÝBĚROVÝ ORGÁN </w:t>
      </w:r>
    </w:p>
    <w:p w:rsidR="00A92273" w:rsidRDefault="00A92273" w:rsidP="00A60AC9">
      <w:pPr>
        <w:pStyle w:val="Odstavecseseznamem"/>
        <w:numPr>
          <w:ilvl w:val="0"/>
          <w:numId w:val="80"/>
        </w:numPr>
        <w:spacing w:after="0" w:line="276" w:lineRule="auto"/>
        <w:ind w:left="709"/>
      </w:pPr>
      <w:r>
        <w:lastRenderedPageBreak/>
        <w:t xml:space="preserve">Členové výběrového orgánu musí být voleni ze subjektů, které na území MAS prokazatelně místně působí. Je-li členem výběrového orgánu právnická osoba, zmocní fyzickou osobu, aby ji v orgánu zastupovala, jinak právnickou osobu zastupuje člen jejího statutárního orgánu </w:t>
      </w:r>
    </w:p>
    <w:p w:rsidR="00A92273" w:rsidRDefault="00A92273" w:rsidP="00A60AC9">
      <w:pPr>
        <w:pStyle w:val="Odstavecseseznamem"/>
        <w:numPr>
          <w:ilvl w:val="0"/>
          <w:numId w:val="80"/>
        </w:numPr>
        <w:spacing w:after="0" w:line="276" w:lineRule="auto"/>
        <w:ind w:left="709"/>
      </w:pPr>
      <w:r>
        <w:t xml:space="preserve">Dobu mandátu členů určuje nejvyšší orgán na dobu max. jednoho roku, opakované zvolení je možné. </w:t>
      </w:r>
    </w:p>
    <w:p w:rsidR="00A92273" w:rsidRDefault="00A92273" w:rsidP="00A60AC9">
      <w:pPr>
        <w:pStyle w:val="Odstavecseseznamem"/>
        <w:numPr>
          <w:ilvl w:val="0"/>
          <w:numId w:val="80"/>
        </w:numPr>
        <w:spacing w:after="0" w:line="276" w:lineRule="auto"/>
        <w:ind w:left="709"/>
      </w:pPr>
      <w:r>
        <w:t xml:space="preserve">Při rozhodování je hlasovací právo členů výběrového orgánu rovné. </w:t>
      </w:r>
      <w:r>
        <w:t xml:space="preserve"> Je-li členem výběrového orgánu fyzická osoba, musí být svéprávná a bezúhonná ve smyslu právního předpisu upravujícího živnostenské podnikání. Je-li členem právnická osoba, musí tuto podmínku splňovat také ten, kdo tuto právnickou osobu zastupuje. </w:t>
      </w:r>
    </w:p>
    <w:p w:rsidR="00A92273" w:rsidRDefault="00A92273" w:rsidP="00A60AC9">
      <w:pPr>
        <w:pStyle w:val="Odstavecseseznamem"/>
        <w:numPr>
          <w:ilvl w:val="0"/>
          <w:numId w:val="80"/>
        </w:numPr>
        <w:spacing w:after="0" w:line="276" w:lineRule="auto"/>
        <w:ind w:left="709"/>
      </w:pPr>
      <w:r>
        <w:t xml:space="preserve">Veřejný sektor ani žádná ze zájmových skupin nepředstavuje více než 49 % hlasovacích práv. </w:t>
      </w:r>
    </w:p>
    <w:p w:rsidR="00A92273" w:rsidRDefault="00A92273" w:rsidP="00A60AC9">
      <w:pPr>
        <w:pStyle w:val="Odstavecseseznamem"/>
        <w:numPr>
          <w:ilvl w:val="0"/>
          <w:numId w:val="80"/>
        </w:numPr>
        <w:spacing w:after="0" w:line="276" w:lineRule="auto"/>
        <w:ind w:left="709"/>
      </w:pPr>
      <w:r>
        <w:t xml:space="preserve">Výběrový orgán volí předsedu z řad svých členů. Předseda svolává a řídí jeho zasedání. </w:t>
      </w:r>
    </w:p>
    <w:p w:rsidR="00A92273" w:rsidRDefault="00A92273" w:rsidP="00A92273">
      <w:pPr>
        <w:ind w:left="360"/>
      </w:pPr>
    </w:p>
    <w:p w:rsidR="00A92273" w:rsidRDefault="00A92273" w:rsidP="00A92273">
      <w:pPr>
        <w:ind w:left="360"/>
      </w:pPr>
      <w:r>
        <w:t xml:space="preserve">Do jeho kompetence spadá zejména: </w:t>
      </w:r>
    </w:p>
    <w:p w:rsidR="00A92273" w:rsidRDefault="00A92273" w:rsidP="00A60AC9">
      <w:pPr>
        <w:pStyle w:val="Odstavecseseznamem"/>
        <w:numPr>
          <w:ilvl w:val="0"/>
          <w:numId w:val="80"/>
        </w:numPr>
        <w:spacing w:after="0" w:line="276" w:lineRule="auto"/>
        <w:ind w:left="709"/>
      </w:pPr>
      <w:r>
        <w:t xml:space="preserve">předvýběr projektů na základě objektivních kritérií – navrhuje jejich pořadí podle přínosu těchto operací k plnění záměrů a cílů SCLLD. </w:t>
      </w:r>
    </w:p>
    <w:p w:rsidR="00A92273" w:rsidRDefault="00A92273" w:rsidP="00A92273">
      <w:pPr>
        <w:ind w:left="360"/>
      </w:pPr>
    </w:p>
    <w:p w:rsidR="00A92273" w:rsidRPr="0074073D" w:rsidRDefault="00A92273" w:rsidP="00A92273">
      <w:pPr>
        <w:ind w:left="360"/>
        <w:rPr>
          <w:b/>
        </w:rPr>
      </w:pPr>
      <w:r w:rsidRPr="0074073D">
        <w:rPr>
          <w:b/>
        </w:rPr>
        <w:t xml:space="preserve">KONTROLNÍ ORGÁN </w:t>
      </w:r>
    </w:p>
    <w:p w:rsidR="00A92273" w:rsidRDefault="00A92273" w:rsidP="00A60AC9">
      <w:pPr>
        <w:pStyle w:val="Odstavecseseznamem"/>
        <w:numPr>
          <w:ilvl w:val="0"/>
          <w:numId w:val="80"/>
        </w:numPr>
        <w:spacing w:after="0" w:line="276" w:lineRule="auto"/>
        <w:ind w:left="709"/>
      </w:pPr>
      <w:r>
        <w:t xml:space="preserve">Členové kontrolního orgánu musí být voleni z partnerů MAS. </w:t>
      </w:r>
    </w:p>
    <w:p w:rsidR="00A92273" w:rsidRDefault="00A92273" w:rsidP="00A60AC9">
      <w:pPr>
        <w:pStyle w:val="Odstavecseseznamem"/>
        <w:numPr>
          <w:ilvl w:val="0"/>
          <w:numId w:val="80"/>
        </w:numPr>
        <w:spacing w:after="0" w:line="276" w:lineRule="auto"/>
        <w:ind w:left="709"/>
      </w:pPr>
      <w:r>
        <w:t xml:space="preserve">Kontrolní orgán volí předsedu z řad svých členů. Předseda svolává a řídí jeho zasedání. </w:t>
      </w:r>
    </w:p>
    <w:p w:rsidR="00A92273" w:rsidRDefault="00A92273" w:rsidP="00A60AC9">
      <w:pPr>
        <w:pStyle w:val="Odstavecseseznamem"/>
        <w:numPr>
          <w:ilvl w:val="0"/>
          <w:numId w:val="80"/>
        </w:numPr>
        <w:spacing w:after="0" w:line="276" w:lineRule="auto"/>
        <w:ind w:left="709"/>
      </w:pPr>
      <w:r>
        <w:t xml:space="preserve">Při rozhodování je hlasovací právo členů kontrolního orgánu rovné. </w:t>
      </w:r>
    </w:p>
    <w:p w:rsidR="00A92273" w:rsidRDefault="00A92273" w:rsidP="00A60AC9">
      <w:pPr>
        <w:pStyle w:val="Odstavecseseznamem"/>
        <w:numPr>
          <w:ilvl w:val="0"/>
          <w:numId w:val="80"/>
        </w:numPr>
        <w:spacing w:after="0" w:line="276" w:lineRule="auto"/>
        <w:ind w:left="709"/>
      </w:pPr>
      <w:r>
        <w:t xml:space="preserve">Je-li členem kontrolního orgánu fyzická osoba, musí být svéprávná a bezúhonná ve smyslu právního předpisu upravujícího živnostenské podnikání. Je-li členem právnická osoba, musí tuto podmínku splňovat také ten, kdo tuto právnickou osobu zastupuje. </w:t>
      </w:r>
    </w:p>
    <w:p w:rsidR="00A92273" w:rsidRDefault="00A92273" w:rsidP="00A60AC9">
      <w:pPr>
        <w:pStyle w:val="Odstavecseseznamem"/>
        <w:numPr>
          <w:ilvl w:val="0"/>
          <w:numId w:val="80"/>
        </w:numPr>
        <w:spacing w:after="0" w:line="276" w:lineRule="auto"/>
        <w:ind w:left="709"/>
      </w:pPr>
      <w:r>
        <w:lastRenderedPageBreak/>
        <w:t xml:space="preserve">Kontrolní orgán je usnášeníschopný, je-li přítomna nadpoloviční většina členů. Pro přijetí rozhodnutí je třeba souhlasu většiny přítomných. </w:t>
      </w:r>
    </w:p>
    <w:p w:rsidR="00A92273" w:rsidRDefault="00A92273" w:rsidP="00A60AC9">
      <w:pPr>
        <w:pStyle w:val="Odstavecseseznamem"/>
        <w:numPr>
          <w:ilvl w:val="0"/>
          <w:numId w:val="80"/>
        </w:numPr>
        <w:spacing w:after="0" w:line="276" w:lineRule="auto"/>
        <w:ind w:left="709"/>
      </w:pPr>
      <w:r>
        <w:t>Nejméně jedenkrát ročně podává zprávu nejvyššímu orgánu MAS o výsledcích své kontrolní činnosti.</w:t>
      </w:r>
    </w:p>
    <w:p w:rsidR="00A92273" w:rsidRDefault="00A92273" w:rsidP="00A92273">
      <w:pPr>
        <w:ind w:left="360"/>
      </w:pPr>
    </w:p>
    <w:p w:rsidR="00A92273" w:rsidRDefault="00A92273" w:rsidP="00A92273">
      <w:pPr>
        <w:ind w:left="360"/>
      </w:pPr>
      <w:r>
        <w:t xml:space="preserve">Do jeho kompetence spadá zejména: </w:t>
      </w:r>
    </w:p>
    <w:p w:rsidR="00A92273" w:rsidRDefault="00A92273" w:rsidP="00A60AC9">
      <w:pPr>
        <w:pStyle w:val="Odstavecseseznamem"/>
        <w:numPr>
          <w:ilvl w:val="0"/>
          <w:numId w:val="80"/>
        </w:numPr>
        <w:spacing w:after="0" w:line="276" w:lineRule="auto"/>
        <w:ind w:left="709"/>
      </w:pPr>
      <w:r>
        <w:t xml:space="preserve">projednávání výroční zprávy o činnosti a hospodaření MAS, </w:t>
      </w:r>
    </w:p>
    <w:p w:rsidR="00A92273" w:rsidRDefault="00A92273" w:rsidP="00A60AC9">
      <w:pPr>
        <w:pStyle w:val="Odstavecseseznamem"/>
        <w:numPr>
          <w:ilvl w:val="0"/>
          <w:numId w:val="80"/>
        </w:numPr>
        <w:spacing w:after="0" w:line="276" w:lineRule="auto"/>
        <w:ind w:left="709"/>
      </w:pPr>
      <w:r>
        <w:t xml:space="preserve">dohlíží na to, že MAS vyvíjí činnost v souladu se zákony, platnými pravidly, standardy MAS a SCLLD, </w:t>
      </w:r>
    </w:p>
    <w:p w:rsidR="00A92273" w:rsidRDefault="00A92273" w:rsidP="00A60AC9">
      <w:pPr>
        <w:pStyle w:val="Odstavecseseznamem"/>
        <w:numPr>
          <w:ilvl w:val="0"/>
          <w:numId w:val="80"/>
        </w:numPr>
        <w:spacing w:after="0" w:line="276" w:lineRule="auto"/>
        <w:ind w:left="709"/>
      </w:pPr>
      <w:r>
        <w:t xml:space="preserve">nahlížení do účetních knih a jiných dokladů organizace týkající se činnosti MAS a kontrolovat tam obsažené údaje, </w:t>
      </w:r>
    </w:p>
    <w:p w:rsidR="00A92273" w:rsidRDefault="00A92273" w:rsidP="00A60AC9">
      <w:pPr>
        <w:pStyle w:val="Odstavecseseznamem"/>
        <w:numPr>
          <w:ilvl w:val="0"/>
          <w:numId w:val="80"/>
        </w:numPr>
        <w:spacing w:after="0" w:line="276" w:lineRule="auto"/>
        <w:ind w:left="709"/>
      </w:pPr>
      <w:r>
        <w:t xml:space="preserve">svolávat mimořádné jednání nejvyššího orgánu a rozhodovacího orgánu, jestliže to vyžadují zájmy MAS, </w:t>
      </w:r>
    </w:p>
    <w:p w:rsidR="00A92273" w:rsidRDefault="00A92273" w:rsidP="00A60AC9">
      <w:pPr>
        <w:pStyle w:val="Odstavecseseznamem"/>
        <w:numPr>
          <w:ilvl w:val="0"/>
          <w:numId w:val="80"/>
        </w:numPr>
        <w:spacing w:after="0" w:line="276" w:lineRule="auto"/>
        <w:ind w:left="709"/>
      </w:pPr>
      <w:r>
        <w:t xml:space="preserve">kontrolovat metodiku způsobu výběru projektů MAS a její dodržování, včetně vyřizování odvolání žadatelů proti výběru MAS, </w:t>
      </w:r>
    </w:p>
    <w:p w:rsidR="00A92273" w:rsidRDefault="00A92273" w:rsidP="00A60AC9">
      <w:pPr>
        <w:pStyle w:val="Odstavecseseznamem"/>
        <w:numPr>
          <w:ilvl w:val="0"/>
          <w:numId w:val="80"/>
        </w:numPr>
        <w:spacing w:after="0" w:line="276" w:lineRule="auto"/>
        <w:ind w:left="709"/>
      </w:pPr>
      <w:r>
        <w:t xml:space="preserve">zodpovídá za monitoring a hodnocení SCLLD (zpracovává a předkládá ke schválení rozhodovacímu orgánu indikátorový a evaluační plán SCLLD). </w:t>
      </w:r>
    </w:p>
    <w:p w:rsidR="00A92273" w:rsidRDefault="00A92273" w:rsidP="00A92273"/>
    <w:p w:rsidR="00A92273" w:rsidRPr="009047CB" w:rsidRDefault="00A92273" w:rsidP="00A92273">
      <w:pPr>
        <w:rPr>
          <w:b/>
        </w:rPr>
      </w:pPr>
      <w:r w:rsidRPr="009047CB">
        <w:rPr>
          <w:b/>
        </w:rPr>
        <w:t xml:space="preserve">Kancelář MAS </w:t>
      </w:r>
    </w:p>
    <w:p w:rsidR="00A92273" w:rsidRDefault="00A92273" w:rsidP="00A60AC9">
      <w:pPr>
        <w:pStyle w:val="Odstavecseseznamem"/>
        <w:numPr>
          <w:ilvl w:val="0"/>
          <w:numId w:val="81"/>
        </w:numPr>
        <w:spacing w:after="0" w:line="276" w:lineRule="auto"/>
      </w:pPr>
      <w:r>
        <w:t xml:space="preserve">Žadatel o standardizaci musí mít vedoucího zaměstnance pro realizaci SCLLD v pracovně právním vztahu. </w:t>
      </w:r>
    </w:p>
    <w:p w:rsidR="00A92273" w:rsidRDefault="00A92273" w:rsidP="00A60AC9">
      <w:pPr>
        <w:pStyle w:val="Odstavecseseznamem"/>
        <w:numPr>
          <w:ilvl w:val="0"/>
          <w:numId w:val="81"/>
        </w:numPr>
        <w:spacing w:after="0" w:line="276" w:lineRule="auto"/>
      </w:pPr>
      <w:r>
        <w:t xml:space="preserve">MAS musí mít internetové stránky, které obsahují minimálně tyto informace: </w:t>
      </w:r>
    </w:p>
    <w:p w:rsidR="00A92273" w:rsidRDefault="00A92273" w:rsidP="00A92273">
      <w:pPr>
        <w:ind w:left="1134"/>
      </w:pPr>
      <w:r>
        <w:t xml:space="preserve">a) zřizovací dokumenty (stanovy, zakládací listina či statut), </w:t>
      </w:r>
    </w:p>
    <w:p w:rsidR="00A92273" w:rsidRDefault="00A92273" w:rsidP="00A92273">
      <w:pPr>
        <w:ind w:left="1134"/>
      </w:pPr>
      <w:r>
        <w:t xml:space="preserve">b) aktuální seznam partnerů a zájmových skupin MAS </w:t>
      </w:r>
    </w:p>
    <w:p w:rsidR="00A92273" w:rsidRDefault="00A92273" w:rsidP="00A92273">
      <w:pPr>
        <w:ind w:left="1134"/>
      </w:pPr>
      <w:r>
        <w:t xml:space="preserve">c) adresa sídla a kanceláře, konzultační hodiny a kontaktní osoba, </w:t>
      </w:r>
    </w:p>
    <w:p w:rsidR="00A92273" w:rsidRDefault="00A92273" w:rsidP="00A92273">
      <w:pPr>
        <w:ind w:left="1134"/>
      </w:pPr>
      <w:r>
        <w:t xml:space="preserve">d) mapa územní působnosti, </w:t>
      </w:r>
    </w:p>
    <w:p w:rsidR="00A92273" w:rsidRDefault="00A92273" w:rsidP="00A92273">
      <w:pPr>
        <w:ind w:left="1134"/>
      </w:pPr>
      <w:r>
        <w:t xml:space="preserve">e) výroční zpráva o činnosti a hospodaření MAS, </w:t>
      </w:r>
    </w:p>
    <w:p w:rsidR="00A92273" w:rsidRDefault="00A92273" w:rsidP="00A92273">
      <w:pPr>
        <w:ind w:left="1134"/>
      </w:pPr>
      <w:r>
        <w:lastRenderedPageBreak/>
        <w:t>f) seznam členů povinných orgánů (rohodovacího, výběrového a kontrolního orgánu).</w:t>
      </w:r>
    </w:p>
    <w:p w:rsidR="00A92273" w:rsidRDefault="00A92273" w:rsidP="00A92273"/>
    <w:p w:rsidR="00A92273" w:rsidRPr="002974A4" w:rsidRDefault="00A92273" w:rsidP="00A92273">
      <w:pPr>
        <w:rPr>
          <w:b/>
        </w:rPr>
      </w:pPr>
      <w:r>
        <w:rPr>
          <w:b/>
        </w:rPr>
        <w:t>Institucionalizace MAS</w:t>
      </w:r>
    </w:p>
    <w:p w:rsidR="00A92273" w:rsidRDefault="00A92273" w:rsidP="00A60AC9">
      <w:pPr>
        <w:pStyle w:val="Odstavecseseznamem"/>
        <w:numPr>
          <w:ilvl w:val="0"/>
          <w:numId w:val="82"/>
        </w:numPr>
        <w:spacing w:after="0" w:line="276" w:lineRule="auto"/>
      </w:pPr>
      <w:r>
        <w:t xml:space="preserve">Žadatel o standardizaci má jednu z následujících právních forem: </w:t>
      </w:r>
    </w:p>
    <w:p w:rsidR="00A92273" w:rsidRDefault="00A92273" w:rsidP="00A92273">
      <w:pPr>
        <w:ind w:left="1134"/>
      </w:pPr>
      <w:r>
        <w:t>a) Spolek podle § 214 a podle § 3045 občanského zákoníku,</w:t>
      </w:r>
    </w:p>
    <w:p w:rsidR="00A92273" w:rsidRDefault="00A92273" w:rsidP="00A92273">
      <w:pPr>
        <w:ind w:left="1134"/>
      </w:pPr>
      <w:r>
        <w:t xml:space="preserve">b) obecně prospěšná společnost vzniklá podle zákona č. 248/1995 Sb., o obecně prospěšných společnostech, ve znění pozdějších předpisů nebo </w:t>
      </w:r>
    </w:p>
    <w:p w:rsidR="00A92273" w:rsidRDefault="00A92273" w:rsidP="00A92273">
      <w:pPr>
        <w:ind w:left="1134"/>
      </w:pPr>
      <w:r>
        <w:t xml:space="preserve">c) ústav podle § 402 občanského zákoníku nebo </w:t>
      </w:r>
    </w:p>
    <w:p w:rsidR="00A92273" w:rsidRDefault="00A92273" w:rsidP="00A92273">
      <w:pPr>
        <w:ind w:left="1134"/>
      </w:pPr>
      <w:r>
        <w:t xml:space="preserve">d) zájmové sdružení právnických osob vzniklé podle § 20f zákona č. 40/1964 Sb., Občanský zákoník, ve znění pozdějších předpisů. </w:t>
      </w:r>
    </w:p>
    <w:p w:rsidR="00A92273" w:rsidRDefault="00A92273" w:rsidP="00A92273"/>
    <w:p w:rsidR="00A92273" w:rsidRDefault="00A92273" w:rsidP="00A60AC9">
      <w:pPr>
        <w:pStyle w:val="Odstavecseseznamem"/>
        <w:numPr>
          <w:ilvl w:val="0"/>
          <w:numId w:val="82"/>
        </w:numPr>
        <w:spacing w:after="0" w:line="276" w:lineRule="auto"/>
      </w:pPr>
      <w:r>
        <w:t xml:space="preserve">Žadatel o standardizaci vede účetnictví ve smyslu zákona č. 563/1991 Sb. o účetnictví, ve znění pozdějších předpisů (nelze uplatnit § 38a). V případě, že je MAS organizační složkou, vede žadatel o standardizaci účetnictví organizační složky odděleně od ostatních činností. </w:t>
      </w:r>
    </w:p>
    <w:p w:rsidR="00A92273" w:rsidRDefault="00A92273" w:rsidP="00A60AC9">
      <w:pPr>
        <w:pStyle w:val="Odstavecseseznamem"/>
        <w:numPr>
          <w:ilvl w:val="0"/>
          <w:numId w:val="82"/>
        </w:numPr>
        <w:spacing w:after="0" w:line="276" w:lineRule="auto"/>
      </w:pPr>
      <w:r>
        <w:t>MAS získala nejhůře ohodnocení B v hodnocení Finančního zdraví a zhodnocení personální a majetkové propojenosti</w:t>
      </w:r>
    </w:p>
    <w:p w:rsidR="00A92273" w:rsidRDefault="00A92273" w:rsidP="00A60AC9">
      <w:pPr>
        <w:pStyle w:val="Odstavecseseznamem"/>
        <w:numPr>
          <w:ilvl w:val="0"/>
          <w:numId w:val="82"/>
        </w:numPr>
        <w:spacing w:after="0" w:line="276" w:lineRule="auto"/>
      </w:pPr>
      <w:r>
        <w:t xml:space="preserve">Všechny kompetence orgánů MAS, principy jejich jednání a přijímání rozhodnutí a způsob jejich obsazování jsou jednoznačně definovány ve stanovách nebo zakládací listině či statutu, které respektují principy metody LEADER (zejm. přístup zdola nahoru) a jsou povinně zakládány do sbírky listin rejstříkových soudů. </w:t>
      </w:r>
    </w:p>
    <w:p w:rsidR="00A92273" w:rsidRDefault="00A92273" w:rsidP="00A60AC9">
      <w:pPr>
        <w:pStyle w:val="Odstavecseseznamem"/>
        <w:numPr>
          <w:ilvl w:val="0"/>
          <w:numId w:val="82"/>
        </w:numPr>
        <w:spacing w:after="0" w:line="276" w:lineRule="auto"/>
      </w:pPr>
      <w:r>
        <w:t>Žadatel o standardizaci zodpovídá od podání Žádosti o standardizaci MAS do vydání Osvědčení o splnění standardů MAS za to, že všechny údaje uvedené vůči SZIF jsou prokazatelně úplné a pravdivé.</w:t>
      </w:r>
    </w:p>
    <w:p w:rsidR="00A92273" w:rsidRDefault="00A92273" w:rsidP="00A92273"/>
    <w:p w:rsidR="00A92273" w:rsidRDefault="00A92273" w:rsidP="00A92273">
      <w:r>
        <w:lastRenderedPageBreak/>
        <w:t>Výše uvedené podmínky (text části 4.1 Podmínky kladené na MAS) ve výše uvedeném znění jsou obsahem dokumentu METODIKA PRO STANDARDIZACI MÍSTNÍCH AKČNÍCH SKUPIN V PROGRAMOVÉM OBDOBÍ 2014-2020.</w:t>
      </w:r>
    </w:p>
    <w:p w:rsidR="00A92273" w:rsidRDefault="00A92273" w:rsidP="00A92273"/>
    <w:p w:rsidR="00A92273" w:rsidRDefault="00A92273" w:rsidP="00A92273">
      <w:pPr>
        <w:pStyle w:val="Nadpis2"/>
        <w:spacing w:after="0"/>
      </w:pPr>
      <w:bookmarkStart w:id="79" w:name="_Toc406672095"/>
      <w:bookmarkStart w:id="80" w:name="_Toc430006548"/>
      <w:r>
        <w:t>Implementace v podmínkách MAS Litomyšlsko o.p.s.</w:t>
      </w:r>
      <w:bookmarkEnd w:id="79"/>
      <w:bookmarkEnd w:id="80"/>
    </w:p>
    <w:p w:rsidR="00A92273" w:rsidRDefault="00A92273" w:rsidP="00A92273"/>
    <w:p w:rsidR="00A92273" w:rsidRDefault="00A92273" w:rsidP="00A92273">
      <w:r>
        <w:t xml:space="preserve">MAS Litomyšlsko bude výše uvedené podmínky implementovat níže uvedeným způsobem. </w:t>
      </w:r>
    </w:p>
    <w:p w:rsidR="00A92273" w:rsidRDefault="00A92273" w:rsidP="00A92273"/>
    <w:p w:rsidR="00A92273" w:rsidRDefault="00A92273" w:rsidP="00A92273">
      <w:pPr>
        <w:pStyle w:val="Nadpis3"/>
        <w:spacing w:after="0"/>
        <w:rPr>
          <w:lang w:eastAsia="cs-CZ"/>
        </w:rPr>
      </w:pPr>
      <w:bookmarkStart w:id="81" w:name="_Toc406672096"/>
      <w:bookmarkStart w:id="82" w:name="_Toc430006549"/>
      <w:r>
        <w:t>Podmínky</w:t>
      </w:r>
      <w:r w:rsidRPr="00AD274E">
        <w:t xml:space="preserve"> definované zákonem č. 248/1995 Sb.</w:t>
      </w:r>
      <w:r>
        <w:t xml:space="preserve"> </w:t>
      </w:r>
      <w:r w:rsidRPr="00AD274E">
        <w:rPr>
          <w:lang w:eastAsia="cs-CZ"/>
        </w:rPr>
        <w:t>o obecně prospěšných společnostech</w:t>
      </w:r>
      <w:bookmarkEnd w:id="81"/>
      <w:bookmarkEnd w:id="82"/>
    </w:p>
    <w:p w:rsidR="00A92273" w:rsidRDefault="00A92273" w:rsidP="00A92273">
      <w:pPr>
        <w:rPr>
          <w:lang w:eastAsia="cs-CZ"/>
        </w:rPr>
      </w:pPr>
      <w:r>
        <w:rPr>
          <w:lang w:eastAsia="cs-CZ"/>
        </w:rPr>
        <w:t>MAS Litomyšlsko bude orgány, činnost i všechny ostatní náležitosti dané zákonem o o.p.s. implementovat níže uvedeným způsobem.</w:t>
      </w:r>
    </w:p>
    <w:p w:rsidR="00A92273" w:rsidRDefault="00A92273" w:rsidP="00A92273">
      <w:pPr>
        <w:rPr>
          <w:lang w:eastAsia="cs-CZ"/>
        </w:rPr>
      </w:pPr>
    </w:p>
    <w:p w:rsidR="00A92273" w:rsidRPr="00E75006" w:rsidRDefault="00A92273" w:rsidP="00A92273">
      <w:pPr>
        <w:rPr>
          <w:b/>
          <w:lang w:eastAsia="cs-CZ"/>
        </w:rPr>
      </w:pPr>
      <w:r w:rsidRPr="00E75006">
        <w:rPr>
          <w:b/>
          <w:lang w:eastAsia="cs-CZ"/>
        </w:rPr>
        <w:t>Správní rada</w:t>
      </w:r>
    </w:p>
    <w:p w:rsidR="00A92273" w:rsidRDefault="00A92273" w:rsidP="00A92273">
      <w:pPr>
        <w:rPr>
          <w:lang w:eastAsia="cs-CZ"/>
        </w:rPr>
      </w:pPr>
      <w:r>
        <w:rPr>
          <w:lang w:eastAsia="cs-CZ"/>
        </w:rPr>
        <w:t>Orgán definovaný zákonem. V současné době má v podmínkách MAS 12 členů. Pro nové období bude počet členů snížen na 3.</w:t>
      </w:r>
    </w:p>
    <w:p w:rsidR="00A92273" w:rsidRDefault="00A92273" w:rsidP="00A92273">
      <w:pPr>
        <w:rPr>
          <w:lang w:eastAsia="cs-CZ"/>
        </w:rPr>
      </w:pPr>
    </w:p>
    <w:p w:rsidR="00A92273" w:rsidRPr="00E75006" w:rsidRDefault="00A92273" w:rsidP="00A92273">
      <w:pPr>
        <w:rPr>
          <w:b/>
          <w:lang w:eastAsia="cs-CZ"/>
        </w:rPr>
      </w:pPr>
      <w:r w:rsidRPr="00E75006">
        <w:rPr>
          <w:b/>
          <w:lang w:eastAsia="cs-CZ"/>
        </w:rPr>
        <w:t>Dozorčí rada</w:t>
      </w:r>
    </w:p>
    <w:p w:rsidR="00A92273" w:rsidRDefault="00A92273" w:rsidP="00A92273">
      <w:pPr>
        <w:rPr>
          <w:lang w:eastAsia="cs-CZ"/>
        </w:rPr>
      </w:pPr>
      <w:r>
        <w:rPr>
          <w:lang w:eastAsia="cs-CZ"/>
        </w:rPr>
        <w:t>Orgán je definovaný zákonem a v podmínkách MAS má 3 členy, což zůstane v platnosti i v následujícím období.</w:t>
      </w:r>
    </w:p>
    <w:p w:rsidR="00A92273" w:rsidRDefault="00A92273" w:rsidP="00A92273">
      <w:pPr>
        <w:rPr>
          <w:lang w:eastAsia="cs-CZ"/>
        </w:rPr>
      </w:pPr>
    </w:p>
    <w:p w:rsidR="00A92273" w:rsidRPr="00E75006" w:rsidRDefault="00A92273" w:rsidP="00A92273">
      <w:pPr>
        <w:rPr>
          <w:b/>
          <w:lang w:eastAsia="cs-CZ"/>
        </w:rPr>
      </w:pPr>
      <w:r w:rsidRPr="00E75006">
        <w:rPr>
          <w:b/>
          <w:lang w:eastAsia="cs-CZ"/>
        </w:rPr>
        <w:t>Programový výbor</w:t>
      </w:r>
    </w:p>
    <w:p w:rsidR="00A92273" w:rsidRDefault="00A92273" w:rsidP="00A92273">
      <w:pPr>
        <w:rPr>
          <w:lang w:eastAsia="cs-CZ"/>
        </w:rPr>
      </w:pPr>
      <w:r>
        <w:rPr>
          <w:lang w:eastAsia="cs-CZ"/>
        </w:rPr>
        <w:t>Nejde o povinný orgán a v MAS Litomyšlsko o.p.s. bude zrušen.</w:t>
      </w:r>
    </w:p>
    <w:p w:rsidR="00A92273" w:rsidRDefault="00A92273" w:rsidP="00A92273">
      <w:pPr>
        <w:rPr>
          <w:lang w:eastAsia="cs-CZ"/>
        </w:rPr>
      </w:pPr>
    </w:p>
    <w:p w:rsidR="00A92273" w:rsidRPr="007E7A6A" w:rsidRDefault="00A92273" w:rsidP="00A92273">
      <w:pPr>
        <w:rPr>
          <w:b/>
          <w:lang w:eastAsia="cs-CZ"/>
        </w:rPr>
      </w:pPr>
      <w:r w:rsidRPr="007E7A6A">
        <w:rPr>
          <w:b/>
          <w:lang w:eastAsia="cs-CZ"/>
        </w:rPr>
        <w:t>Výběrová komise</w:t>
      </w:r>
    </w:p>
    <w:p w:rsidR="00A92273" w:rsidRDefault="00A92273" w:rsidP="00A92273">
      <w:pPr>
        <w:rPr>
          <w:lang w:eastAsia="cs-CZ"/>
        </w:rPr>
      </w:pPr>
      <w:r>
        <w:rPr>
          <w:lang w:eastAsia="cs-CZ"/>
        </w:rPr>
        <w:lastRenderedPageBreak/>
        <w:t>Výběrová komise měla za úkol hodnocení projektů dle výběrových kritérií. Tento orgán bude přesunut z původního zařazení do organizační složky místního partnerství jako Výběrový orgán (viz níže).</w:t>
      </w:r>
    </w:p>
    <w:p w:rsidR="00A92273" w:rsidRDefault="00A92273" w:rsidP="00A92273">
      <w:pPr>
        <w:rPr>
          <w:lang w:eastAsia="cs-CZ"/>
        </w:rPr>
      </w:pPr>
    </w:p>
    <w:p w:rsidR="00A92273" w:rsidRPr="00AD274E" w:rsidRDefault="00A92273" w:rsidP="00A92273">
      <w:pPr>
        <w:pStyle w:val="Nadpis3"/>
        <w:spacing w:after="0"/>
        <w:rPr>
          <w:lang w:eastAsia="cs-CZ"/>
        </w:rPr>
      </w:pPr>
      <w:bookmarkStart w:id="83" w:name="_Toc406672097"/>
      <w:bookmarkStart w:id="84" w:name="_Toc430006550"/>
      <w:r>
        <w:rPr>
          <w:lang w:eastAsia="cs-CZ"/>
        </w:rPr>
        <w:t xml:space="preserve">Podmínky dané </w:t>
      </w:r>
      <w:r>
        <w:t>METODIKOU PRO STANDARDIZACI MÍSTNÍCH AKČNÍCH SKUPIN V PROGRAMOVÉM OBDOBÍ 2014-2020</w:t>
      </w:r>
      <w:bookmarkEnd w:id="83"/>
      <w:bookmarkEnd w:id="84"/>
    </w:p>
    <w:p w:rsidR="00A92273" w:rsidRPr="00A51640" w:rsidRDefault="00A92273" w:rsidP="00A92273">
      <w:pPr>
        <w:rPr>
          <w:sz w:val="16"/>
          <w:szCs w:val="16"/>
        </w:rPr>
      </w:pPr>
    </w:p>
    <w:p w:rsidR="00A92273" w:rsidRPr="007E7A6A" w:rsidRDefault="00A92273" w:rsidP="00A92273">
      <w:pPr>
        <w:rPr>
          <w:b/>
        </w:rPr>
      </w:pPr>
      <w:r w:rsidRPr="007E7A6A">
        <w:rPr>
          <w:b/>
        </w:rPr>
        <w:t>Místní partnerství</w:t>
      </w:r>
    </w:p>
    <w:p w:rsidR="00A92273" w:rsidRDefault="00A92273" w:rsidP="00A92273">
      <w:r>
        <w:t>Místní partnerství je uskupením partnerů MAS na základě partnerské smlouvy. Toto partnerství je nositelem strategie (resp. realizace strategie) a je začleněno do organizační struktury MAS Litomyšlsko o.p.s. jako organizační složka s níže uvedenými orgány. Začlenění organizační složky nazvané „MAS“ do organizační struktury je evidentní z obrázku níže.</w:t>
      </w:r>
    </w:p>
    <w:p w:rsidR="00A92273" w:rsidRDefault="00A92273" w:rsidP="00A92273">
      <w:r>
        <w:t>Organizační složka a její orgány mají odpovědnost za implementaci metody LEADER, zatímco orgány MAS Litomyšlsko o.p.s. mají odpovědnost také za úkony mimo implementaci LEADER.</w:t>
      </w:r>
    </w:p>
    <w:p w:rsidR="00A92273" w:rsidRPr="00A51640" w:rsidRDefault="00A92273" w:rsidP="00A92273">
      <w:pPr>
        <w:rPr>
          <w:sz w:val="16"/>
          <w:szCs w:val="16"/>
        </w:rPr>
      </w:pPr>
    </w:p>
    <w:p w:rsidR="00A92273" w:rsidRPr="007E7A6A" w:rsidRDefault="00A92273" w:rsidP="00A92273">
      <w:pPr>
        <w:rPr>
          <w:b/>
        </w:rPr>
      </w:pPr>
      <w:r w:rsidRPr="007E7A6A">
        <w:rPr>
          <w:b/>
        </w:rPr>
        <w:t>Nejvyšší orgán</w:t>
      </w:r>
    </w:p>
    <w:p w:rsidR="00A92273" w:rsidRDefault="00A92273" w:rsidP="00A92273">
      <w:r>
        <w:t>Je základním orgánem složeným ze všech partnerů, přičemž každý partner zde má své zastoupení. Je začleněn v rámci organizační složky.</w:t>
      </w:r>
    </w:p>
    <w:p w:rsidR="00A92273" w:rsidRPr="00A51640" w:rsidRDefault="00A92273" w:rsidP="00A92273">
      <w:pPr>
        <w:rPr>
          <w:sz w:val="16"/>
          <w:szCs w:val="16"/>
        </w:rPr>
      </w:pPr>
    </w:p>
    <w:p w:rsidR="00A92273" w:rsidRPr="007E7A6A" w:rsidRDefault="00A92273" w:rsidP="00A92273">
      <w:pPr>
        <w:rPr>
          <w:b/>
        </w:rPr>
      </w:pPr>
      <w:r w:rsidRPr="007E7A6A">
        <w:rPr>
          <w:b/>
        </w:rPr>
        <w:t>Rozhodovací orgán</w:t>
      </w:r>
    </w:p>
    <w:p w:rsidR="00A92273" w:rsidRDefault="00A92273" w:rsidP="00A92273">
      <w:r>
        <w:t>Jde o orgán volený Nejvyšším orgánem. Začlenění Rozhodovacího orgánu v organizační složce je evidentní z obrázku níže.</w:t>
      </w:r>
    </w:p>
    <w:p w:rsidR="00A92273" w:rsidRPr="00A51640" w:rsidRDefault="00A92273" w:rsidP="00A92273">
      <w:pPr>
        <w:rPr>
          <w:sz w:val="16"/>
          <w:szCs w:val="16"/>
        </w:rPr>
      </w:pPr>
    </w:p>
    <w:p w:rsidR="00A92273" w:rsidRPr="007E7A6A" w:rsidRDefault="00A92273" w:rsidP="00A92273">
      <w:pPr>
        <w:rPr>
          <w:b/>
        </w:rPr>
      </w:pPr>
      <w:r w:rsidRPr="007E7A6A">
        <w:rPr>
          <w:b/>
        </w:rPr>
        <w:t>Kontrolní orgán</w:t>
      </w:r>
    </w:p>
    <w:p w:rsidR="00A92273" w:rsidRDefault="00A92273" w:rsidP="00A92273">
      <w:r>
        <w:lastRenderedPageBreak/>
        <w:t>Začlenění Kontrolního orgánu v organizační složce je evidentní z obrázku níže. Jeho kompetence jsou uvedeny výše.</w:t>
      </w:r>
    </w:p>
    <w:p w:rsidR="00A92273" w:rsidRPr="00A51640" w:rsidRDefault="00A92273" w:rsidP="00A92273">
      <w:pPr>
        <w:rPr>
          <w:sz w:val="16"/>
          <w:szCs w:val="16"/>
        </w:rPr>
      </w:pPr>
    </w:p>
    <w:p w:rsidR="00A92273" w:rsidRPr="007E7A6A" w:rsidRDefault="00A92273" w:rsidP="00A92273">
      <w:pPr>
        <w:rPr>
          <w:b/>
        </w:rPr>
      </w:pPr>
      <w:r w:rsidRPr="007E7A6A">
        <w:rPr>
          <w:b/>
        </w:rPr>
        <w:t>Výběrový orgán</w:t>
      </w:r>
    </w:p>
    <w:p w:rsidR="00A92273" w:rsidRDefault="00A92273" w:rsidP="00A92273">
      <w:r>
        <w:t>Výběrový orgán bude utvořen přesunem v organizační struktuře a navolením jeho členů.</w:t>
      </w:r>
    </w:p>
    <w:p w:rsidR="00A92273" w:rsidRDefault="00A92273" w:rsidP="00A92273">
      <w:pPr>
        <w:pStyle w:val="Nadpis3"/>
        <w:spacing w:after="0"/>
      </w:pPr>
      <w:bookmarkStart w:id="85" w:name="_Toc406672098"/>
      <w:bookmarkStart w:id="86" w:name="_Toc430006551"/>
      <w:r>
        <w:t>Schéma organizační struktury se znázorněním změn</w:t>
      </w:r>
      <w:bookmarkEnd w:id="85"/>
      <w:bookmarkEnd w:id="86"/>
    </w:p>
    <w:p w:rsidR="00A92273" w:rsidRDefault="00A92273" w:rsidP="00A92273">
      <w:r w:rsidRPr="00A51640">
        <w:rPr>
          <w:noProof/>
          <w:lang w:eastAsia="cs-CZ"/>
        </w:rPr>
        <w:drawing>
          <wp:inline distT="0" distB="0" distL="0" distR="0">
            <wp:extent cx="5760720" cy="2919550"/>
            <wp:effectExtent l="19050" t="19050" r="11430" b="14150"/>
            <wp:docPr id="4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t="32231"/>
                    <a:stretch>
                      <a:fillRect/>
                    </a:stretch>
                  </pic:blipFill>
                  <pic:spPr bwMode="auto">
                    <a:xfrm>
                      <a:off x="0" y="0"/>
                      <a:ext cx="5760720" cy="2919550"/>
                    </a:xfrm>
                    <a:prstGeom prst="rect">
                      <a:avLst/>
                    </a:prstGeom>
                    <a:noFill/>
                    <a:ln w="9525">
                      <a:solidFill>
                        <a:schemeClr val="tx1">
                          <a:lumMod val="50000"/>
                          <a:lumOff val="50000"/>
                        </a:schemeClr>
                      </a:solidFill>
                      <a:miter lim="800000"/>
                      <a:headEnd/>
                      <a:tailEnd/>
                    </a:ln>
                  </pic:spPr>
                </pic:pic>
              </a:graphicData>
            </a:graphic>
          </wp:inline>
        </w:drawing>
      </w:r>
      <w:r>
        <w:br w:type="page"/>
      </w:r>
    </w:p>
    <w:p w:rsidR="00A92273" w:rsidRDefault="00A92273" w:rsidP="00A92273">
      <w:pPr>
        <w:pStyle w:val="Nadpis2"/>
      </w:pPr>
      <w:bookmarkStart w:id="87" w:name="_Toc406672099"/>
      <w:bookmarkStart w:id="88" w:name="_Toc430006552"/>
      <w:r>
        <w:lastRenderedPageBreak/>
        <w:t>Implementační dokumenty</w:t>
      </w:r>
      <w:bookmarkEnd w:id="87"/>
      <w:bookmarkEnd w:id="88"/>
    </w:p>
    <w:p w:rsidR="00A92273" w:rsidRDefault="00A92273" w:rsidP="00A92273">
      <w:r>
        <w:t>Tato kapitola se věnuje implementaci systému rozdělování finančních prostředků pro projekty v regionu naplňujících strategii. Proces implementace je definován interními dokumenty upravujícími procesy MAS. Východiskem pro ně jsou zkušenosti a dobrá praxe z období 2007 – 2020, kdy MAS implementovala PRV metodou LEADER. Níže uvedené návrhy dokumentů budou v případě potřeby upraveny dle podmínek a požadavků začínajícího období 2014-2020.</w:t>
      </w:r>
    </w:p>
    <w:p w:rsidR="00A92273" w:rsidRPr="008136B5" w:rsidRDefault="00A92273" w:rsidP="00A92273">
      <w:pPr>
        <w:pStyle w:val="Nadpis3"/>
      </w:pPr>
      <w:bookmarkStart w:id="89" w:name="_Toc406672100"/>
      <w:bookmarkStart w:id="90" w:name="_Toc430006553"/>
      <w:r w:rsidRPr="008136B5">
        <w:t>Vyhlašování výzvy, příjem a kontrola žádostí</w:t>
      </w:r>
      <w:bookmarkEnd w:id="89"/>
      <w:bookmarkEnd w:id="90"/>
    </w:p>
    <w:p w:rsidR="00A92273" w:rsidRPr="006A6B0C" w:rsidRDefault="00A92273" w:rsidP="00A92273">
      <w:r w:rsidRPr="008136B5">
        <w:t xml:space="preserve">Směrnice je zpracována pro vyhlašování výzev, příjem a kontrolu žádostí a kritérií přijatelnosti MAS Litomyšlsko v rámci </w:t>
      </w:r>
      <w:r>
        <w:t>aplikace metody LEADER</w:t>
      </w:r>
      <w:r w:rsidRPr="008136B5">
        <w:t>.</w:t>
      </w:r>
    </w:p>
    <w:p w:rsidR="00A92273" w:rsidRPr="008136B5" w:rsidRDefault="00A92273" w:rsidP="00A92273">
      <w:pPr>
        <w:rPr>
          <w:rFonts w:eastAsia="TimesNewRomanPSMT"/>
        </w:rPr>
      </w:pPr>
    </w:p>
    <w:p w:rsidR="00A92273" w:rsidRPr="00EF0D2F" w:rsidRDefault="00A92273" w:rsidP="00A92273">
      <w:pPr>
        <w:rPr>
          <w:rFonts w:eastAsia="TimesNewRomanPSMT"/>
          <w:b/>
        </w:rPr>
      </w:pPr>
      <w:r w:rsidRPr="00EF0D2F">
        <w:rPr>
          <w:rFonts w:eastAsia="TimesNewRomanPSMT"/>
          <w:b/>
        </w:rPr>
        <w:t>Vyhlašování výzvy</w:t>
      </w:r>
    </w:p>
    <w:p w:rsidR="00A92273" w:rsidRPr="008136B5" w:rsidRDefault="00A92273" w:rsidP="00A92273">
      <w:pPr>
        <w:rPr>
          <w:rFonts w:eastAsia="TimesNewRomanPSMT"/>
        </w:rPr>
      </w:pPr>
    </w:p>
    <w:p w:rsidR="00A92273" w:rsidRPr="008136B5" w:rsidRDefault="00A92273" w:rsidP="00A92273">
      <w:pPr>
        <w:ind w:left="708"/>
        <w:rPr>
          <w:lang w:eastAsia="cs-CZ"/>
        </w:rPr>
      </w:pPr>
      <w:r w:rsidRPr="008136B5">
        <w:rPr>
          <w:lang w:eastAsia="cs-CZ"/>
        </w:rPr>
        <w:t xml:space="preserve">1. MAS vyhlašuje výzvu předkládání žádostí o dotaci v souladu s plánovaným harmonogramem, minimálně však jedenkrát za rok. </w:t>
      </w:r>
    </w:p>
    <w:p w:rsidR="00A92273" w:rsidRPr="008136B5" w:rsidRDefault="00A92273" w:rsidP="00A92273">
      <w:pPr>
        <w:ind w:left="708"/>
        <w:rPr>
          <w:lang w:eastAsia="cs-CZ"/>
        </w:rPr>
      </w:pPr>
      <w:r w:rsidRPr="008136B5">
        <w:rPr>
          <w:lang w:eastAsia="cs-CZ"/>
        </w:rPr>
        <w:t xml:space="preserve">2. MAS vyhlašuje veřejnou výzvu pro každý příjem žádostí. </w:t>
      </w:r>
    </w:p>
    <w:p w:rsidR="00A92273" w:rsidRPr="008136B5" w:rsidRDefault="00A92273" w:rsidP="00A92273">
      <w:pPr>
        <w:ind w:left="708"/>
        <w:rPr>
          <w:lang w:eastAsia="cs-CZ"/>
        </w:rPr>
      </w:pPr>
      <w:r w:rsidRPr="008136B5">
        <w:rPr>
          <w:lang w:eastAsia="cs-CZ"/>
        </w:rPr>
        <w:t xml:space="preserve">3. Výzva se vždy vztahuje na celé </w:t>
      </w:r>
      <w:r>
        <w:rPr>
          <w:lang w:eastAsia="cs-CZ"/>
        </w:rPr>
        <w:t>území, na kterém je realizována strategie</w:t>
      </w:r>
      <w:r w:rsidRPr="008136B5">
        <w:rPr>
          <w:lang w:eastAsia="cs-CZ"/>
        </w:rPr>
        <w:t>.</w:t>
      </w:r>
    </w:p>
    <w:p w:rsidR="00A92273" w:rsidRPr="008136B5" w:rsidRDefault="00A92273" w:rsidP="00A92273">
      <w:pPr>
        <w:ind w:left="708"/>
        <w:rPr>
          <w:lang w:eastAsia="cs-CZ"/>
        </w:rPr>
      </w:pPr>
      <w:r w:rsidRPr="008136B5">
        <w:t>4. Výzva je vždy v soul</w:t>
      </w:r>
      <w:r>
        <w:t>adu s příslušnými oblastmi, se strategií, s Pravidly MAS a s pravidly OP.</w:t>
      </w:r>
    </w:p>
    <w:p w:rsidR="00A92273" w:rsidRPr="008136B5" w:rsidRDefault="00A92273" w:rsidP="00A92273">
      <w:pPr>
        <w:ind w:left="708"/>
        <w:rPr>
          <w:lang w:eastAsia="cs-CZ"/>
        </w:rPr>
      </w:pPr>
      <w:r w:rsidRPr="008136B5">
        <w:rPr>
          <w:lang w:eastAsia="cs-CZ"/>
        </w:rPr>
        <w:t xml:space="preserve">5. Vyhlášení výzvy a podobu výzvy schvaluje vždy před jejím vyhlášením </w:t>
      </w:r>
      <w:r>
        <w:rPr>
          <w:lang w:eastAsia="cs-CZ"/>
        </w:rPr>
        <w:t>Nejvyšší orgán</w:t>
      </w:r>
      <w:r w:rsidRPr="008136B5">
        <w:rPr>
          <w:lang w:eastAsia="cs-CZ"/>
        </w:rPr>
        <w:t xml:space="preserve"> MAS.</w:t>
      </w:r>
    </w:p>
    <w:p w:rsidR="00A92273" w:rsidRPr="008136B5" w:rsidRDefault="00A92273" w:rsidP="00A92273">
      <w:pPr>
        <w:ind w:left="708"/>
        <w:rPr>
          <w:lang w:eastAsia="cs-CZ"/>
        </w:rPr>
      </w:pPr>
      <w:r w:rsidRPr="008136B5">
        <w:rPr>
          <w:lang w:eastAsia="cs-CZ"/>
        </w:rPr>
        <w:t xml:space="preserve">6. Před vyhlášením odešle MAS prostřednictvím </w:t>
      </w:r>
      <w:r>
        <w:rPr>
          <w:lang w:eastAsia="cs-CZ"/>
        </w:rPr>
        <w:t>výzvu ke schválení příslušným orgánům</w:t>
      </w:r>
      <w:r w:rsidRPr="008136B5">
        <w:rPr>
          <w:lang w:eastAsia="cs-CZ"/>
        </w:rPr>
        <w:t>.</w:t>
      </w:r>
    </w:p>
    <w:p w:rsidR="00A92273" w:rsidRPr="008136B5" w:rsidRDefault="00A92273" w:rsidP="00A92273">
      <w:pPr>
        <w:ind w:left="708"/>
        <w:rPr>
          <w:lang w:eastAsia="cs-CZ"/>
        </w:rPr>
      </w:pPr>
      <w:r w:rsidRPr="008136B5">
        <w:rPr>
          <w:lang w:eastAsia="cs-CZ"/>
        </w:rPr>
        <w:t>7. Vyhlašování výzev je zajištěno sekretariátem MAS</w:t>
      </w:r>
      <w:r>
        <w:rPr>
          <w:lang w:eastAsia="cs-CZ"/>
        </w:rPr>
        <w:t>.</w:t>
      </w:r>
    </w:p>
    <w:p w:rsidR="00A92273" w:rsidRPr="008136B5" w:rsidRDefault="00A92273" w:rsidP="00A92273">
      <w:pPr>
        <w:ind w:left="708"/>
        <w:rPr>
          <w:lang w:eastAsia="cs-CZ"/>
        </w:rPr>
      </w:pPr>
      <w:r w:rsidRPr="008136B5">
        <w:rPr>
          <w:lang w:eastAsia="cs-CZ"/>
        </w:rPr>
        <w:t>8. Doba od vyhlášení výzvy k termínu uzávěrky pro předkládání projektů je minimálně 30 dnů.</w:t>
      </w:r>
    </w:p>
    <w:p w:rsidR="00A92273" w:rsidRPr="008136B5" w:rsidRDefault="00A92273" w:rsidP="00A92273">
      <w:pPr>
        <w:ind w:left="708"/>
        <w:rPr>
          <w:lang w:eastAsia="cs-CZ"/>
        </w:rPr>
      </w:pPr>
      <w:r w:rsidRPr="008136B5">
        <w:rPr>
          <w:lang w:eastAsia="cs-CZ"/>
        </w:rPr>
        <w:lastRenderedPageBreak/>
        <w:t>9. Výzva obsahuje termíny výzvy a příjmu žádostí, způsob a místo podání žádosti, termíny realizace projektů a čerpání způsobilých výdajů, území realizace projektů, způsob hodnocení žádostí, další informace, seznam dokumentů k výzvě, kontakty pro konzultace.</w:t>
      </w:r>
    </w:p>
    <w:p w:rsidR="00A92273" w:rsidRPr="008136B5" w:rsidRDefault="00A92273" w:rsidP="00A92273">
      <w:pPr>
        <w:ind w:left="708"/>
        <w:rPr>
          <w:lang w:eastAsia="cs-CZ"/>
        </w:rPr>
      </w:pPr>
      <w:r w:rsidRPr="008136B5">
        <w:rPr>
          <w:lang w:eastAsia="cs-CZ"/>
        </w:rPr>
        <w:t xml:space="preserve">10. Výzvu MAS zveřejňuje na svých webových stránkách </w:t>
      </w:r>
      <w:hyperlink r:id="rId94" w:history="1">
        <w:r w:rsidRPr="008136B5">
          <w:rPr>
            <w:rStyle w:val="Hypertextovodkaz"/>
            <w:lang w:eastAsia="cs-CZ"/>
          </w:rPr>
          <w:t>www.mas-lit.cz</w:t>
        </w:r>
      </w:hyperlink>
      <w:r w:rsidRPr="008136B5">
        <w:rPr>
          <w:lang w:eastAsia="cs-CZ"/>
        </w:rPr>
        <w:t>, výzva je rozesílána elektronickou poštou na všechny obce v území působnosti MAS s prosbou o zveřejnění výzvy na webových stránkách obcí a vývěskách obcí, je zasílána elektronickou poštou členům MAS a dalším subjektům v území z databáze kontaktů MAS.</w:t>
      </w:r>
    </w:p>
    <w:p w:rsidR="00A92273" w:rsidRPr="008136B5" w:rsidRDefault="00A92273" w:rsidP="00A92273">
      <w:pPr>
        <w:ind w:left="708"/>
        <w:rPr>
          <w:lang w:eastAsia="cs-CZ"/>
        </w:rPr>
      </w:pPr>
      <w:r w:rsidRPr="008136B5">
        <w:rPr>
          <w:lang w:eastAsia="cs-CZ"/>
        </w:rPr>
        <w:t>11. Od vyhlášení do ukončení výzvy jsou pro všechny</w:t>
      </w:r>
      <w:r>
        <w:rPr>
          <w:lang w:eastAsia="cs-CZ"/>
        </w:rPr>
        <w:t xml:space="preserve"> zájemce o předložení žádosti o </w:t>
      </w:r>
      <w:r w:rsidRPr="008136B5">
        <w:rPr>
          <w:lang w:eastAsia="cs-CZ"/>
        </w:rPr>
        <w:t xml:space="preserve">dotaci k dispozici manažeři MAS pro konzultaci projektových záměrů a zpracování žádostí o dotaci, všechny potřebné dokumenty včetně pokynů pro žadatele jsou dne, vyhlášení výzvy k dispozici ke stažení na </w:t>
      </w:r>
      <w:hyperlink r:id="rId95" w:history="1">
        <w:r w:rsidRPr="008136B5">
          <w:rPr>
            <w:rStyle w:val="Hypertextovodkaz"/>
            <w:lang w:eastAsia="cs-CZ"/>
          </w:rPr>
          <w:t>www.mas-lit.cz</w:t>
        </w:r>
      </w:hyperlink>
      <w:r w:rsidRPr="008136B5">
        <w:rPr>
          <w:lang w:eastAsia="cs-CZ"/>
        </w:rPr>
        <w:t>.</w:t>
      </w:r>
    </w:p>
    <w:p w:rsidR="00A92273" w:rsidRPr="00EF0D2F" w:rsidRDefault="00A92273" w:rsidP="00A92273">
      <w:pPr>
        <w:rPr>
          <w:b/>
          <w:lang w:eastAsia="cs-CZ"/>
        </w:rPr>
      </w:pPr>
      <w:r w:rsidRPr="00EF0D2F">
        <w:rPr>
          <w:b/>
          <w:lang w:eastAsia="cs-CZ"/>
        </w:rPr>
        <w:t>Příjem a kontrola žádostí</w:t>
      </w:r>
    </w:p>
    <w:p w:rsidR="00A92273" w:rsidRPr="008136B5" w:rsidRDefault="00A92273" w:rsidP="00A92273">
      <w:pPr>
        <w:rPr>
          <w:lang w:eastAsia="cs-CZ"/>
        </w:rPr>
      </w:pPr>
    </w:p>
    <w:p w:rsidR="00A92273" w:rsidRPr="008136B5" w:rsidRDefault="00A92273" w:rsidP="00A92273">
      <w:pPr>
        <w:ind w:left="708"/>
        <w:rPr>
          <w:lang w:eastAsia="cs-CZ"/>
        </w:rPr>
      </w:pPr>
      <w:r w:rsidRPr="008136B5">
        <w:rPr>
          <w:lang w:eastAsia="cs-CZ"/>
        </w:rPr>
        <w:t>1. Příjem žádostí probíhá ve výzvou stanovených termínech v sídle MAS, příjem žádostí je zajišťován sekretariátem MAS. Po termínu není možné projekt přijmout.</w:t>
      </w:r>
    </w:p>
    <w:p w:rsidR="00A92273" w:rsidRPr="008136B5" w:rsidRDefault="00A92273" w:rsidP="00A92273">
      <w:pPr>
        <w:ind w:left="708"/>
        <w:rPr>
          <w:lang w:eastAsia="cs-CZ"/>
        </w:rPr>
      </w:pPr>
      <w:r>
        <w:rPr>
          <w:lang w:eastAsia="cs-CZ"/>
        </w:rPr>
        <w:t xml:space="preserve">2. </w:t>
      </w:r>
      <w:r w:rsidRPr="008136B5">
        <w:rPr>
          <w:lang w:eastAsia="cs-CZ"/>
        </w:rPr>
        <w:t>Žádost o dotaci předkládá žadatel na</w:t>
      </w:r>
      <w:r w:rsidRPr="008136B5">
        <w:t xml:space="preserve"> standardizovaném formulář</w:t>
      </w:r>
      <w:r>
        <w:t>i</w:t>
      </w:r>
      <w:r w:rsidRPr="008136B5">
        <w:t xml:space="preserve"> v elektronické podobě na CD, dále předkládá povinné a nepovinné přílohy ve třech paré. </w:t>
      </w:r>
    </w:p>
    <w:p w:rsidR="00A92273" w:rsidRPr="008136B5" w:rsidRDefault="00A92273" w:rsidP="00A92273">
      <w:pPr>
        <w:ind w:left="708"/>
        <w:rPr>
          <w:lang w:eastAsia="cs-CZ"/>
        </w:rPr>
      </w:pPr>
      <w:r w:rsidRPr="008136B5">
        <w:rPr>
          <w:lang w:eastAsia="cs-CZ"/>
        </w:rPr>
        <w:t xml:space="preserve">3. Předložení Žádosti o dotaci včetně všech příloh musí do stanoveného data a hodiny učinit žadatel osobně </w:t>
      </w:r>
      <w:r w:rsidRPr="008136B5">
        <w:t>nebo jím pověřená osoba na základě zmocnění s vymezením obsahu a doby platnosti.</w:t>
      </w:r>
      <w:r>
        <w:t xml:space="preserve"> </w:t>
      </w:r>
    </w:p>
    <w:p w:rsidR="00A92273" w:rsidRPr="008136B5" w:rsidRDefault="00A92273" w:rsidP="00A92273">
      <w:pPr>
        <w:ind w:left="708"/>
      </w:pPr>
      <w:r w:rsidRPr="008136B5">
        <w:rPr>
          <w:lang w:eastAsia="cs-CZ"/>
        </w:rPr>
        <w:t xml:space="preserve">4. </w:t>
      </w:r>
      <w:r w:rsidRPr="008136B5">
        <w:t>Při příjmu Žádosti o dotaci pracovník MAS nejprve vytiskne formulář Žádosti o dotaci z elektronické verze doručené žadatelem a poté provede kontrolu úplnosti na základě kontrolního listu.</w:t>
      </w:r>
    </w:p>
    <w:p w:rsidR="00A92273" w:rsidRPr="008136B5" w:rsidRDefault="00A92273" w:rsidP="00A92273">
      <w:pPr>
        <w:ind w:left="708"/>
      </w:pPr>
      <w:r w:rsidRPr="008136B5">
        <w:t>5. Žádost o dotaci je podepsána konečným žadatelem a pracovníkem MAS na všech místech k tomu určených. Neúplná Žádost o dotaci není přijata a konečný žadatel bude na místě o této skutečnosti a jejích důvodech písemně informován.</w:t>
      </w:r>
    </w:p>
    <w:p w:rsidR="00A92273" w:rsidRPr="008136B5" w:rsidRDefault="00A92273" w:rsidP="00A92273">
      <w:pPr>
        <w:ind w:left="708"/>
      </w:pPr>
      <w:r w:rsidRPr="008136B5">
        <w:rPr>
          <w:color w:val="000000"/>
        </w:rPr>
        <w:lastRenderedPageBreak/>
        <w:t xml:space="preserve">6. Manažer MAS vystaví potvrzení o převzetí žádosti. </w:t>
      </w:r>
      <w:r w:rsidRPr="008136B5">
        <w:t>Toto potvrzení je</w:t>
      </w:r>
      <w:r>
        <w:t xml:space="preserve"> </w:t>
      </w:r>
      <w:r w:rsidRPr="008136B5">
        <w:t xml:space="preserve">vystaveno 2x, podepíše ho žadatel a zástupce </w:t>
      </w:r>
      <w:smartTag w:uri="urn:schemas-microsoft-com:office:smarttags" w:element="PersonName">
        <w:r w:rsidRPr="008136B5">
          <w:t>MAS</w:t>
        </w:r>
      </w:smartTag>
      <w:r w:rsidRPr="008136B5">
        <w:t xml:space="preserve">. </w:t>
      </w:r>
    </w:p>
    <w:p w:rsidR="00A92273" w:rsidRPr="008136B5" w:rsidRDefault="00A92273" w:rsidP="00A92273">
      <w:pPr>
        <w:ind w:left="708"/>
      </w:pPr>
      <w:r w:rsidRPr="008136B5">
        <w:t xml:space="preserve">7. Pracovník MAS založí složku projektu, do které budou po celou dobu administrace zakládány veškeré dokumenty, související s projektem. </w:t>
      </w:r>
    </w:p>
    <w:p w:rsidR="00A92273" w:rsidRPr="008136B5" w:rsidRDefault="00A92273" w:rsidP="00A92273"/>
    <w:p w:rsidR="00A92273" w:rsidRPr="008136B5" w:rsidRDefault="00A92273" w:rsidP="00A92273"/>
    <w:p w:rsidR="00A92273" w:rsidRPr="0090424A" w:rsidRDefault="00A92273" w:rsidP="00A92273">
      <w:pPr>
        <w:rPr>
          <w:b/>
        </w:rPr>
      </w:pPr>
      <w:r w:rsidRPr="0090424A">
        <w:rPr>
          <w:b/>
        </w:rPr>
        <w:t>Kontrola žádostí a kritérií přijatelnosti</w:t>
      </w:r>
    </w:p>
    <w:p w:rsidR="00A92273" w:rsidRPr="008136B5" w:rsidRDefault="00A92273" w:rsidP="00A92273"/>
    <w:p w:rsidR="00A92273" w:rsidRPr="008136B5" w:rsidRDefault="00A92273" w:rsidP="00A92273">
      <w:pPr>
        <w:ind w:left="708"/>
      </w:pPr>
      <w:r w:rsidRPr="008136B5">
        <w:t xml:space="preserve">1. Po zaevidování všech žádostí provede manažer MAS administrativní kontrolu povinných a nepovinných příloh a posoudí, </w:t>
      </w:r>
      <w:r w:rsidRPr="008136B5">
        <w:rPr>
          <w:lang w:eastAsia="cs-CZ"/>
        </w:rPr>
        <w:t>zda je žádost o finanční podporu v souladu s </w:t>
      </w:r>
      <w:r>
        <w:rPr>
          <w:lang w:eastAsia="cs-CZ"/>
        </w:rPr>
        <w:t>podmínkami OP a strategií</w:t>
      </w:r>
      <w:r w:rsidRPr="008136B5">
        <w:rPr>
          <w:lang w:eastAsia="cs-CZ"/>
        </w:rPr>
        <w:t xml:space="preserve"> MAS Litomyšlsko</w:t>
      </w:r>
      <w:r w:rsidRPr="008136B5">
        <w:t xml:space="preserve">. </w:t>
      </w:r>
    </w:p>
    <w:p w:rsidR="00A92273" w:rsidRPr="008136B5" w:rsidRDefault="00A92273" w:rsidP="00A92273">
      <w:pPr>
        <w:ind w:left="708"/>
      </w:pPr>
      <w:r w:rsidRPr="008136B5">
        <w:t>2. Kontrola je provedena do 5 pracovních dnů od registrování žádostí o dotaci. Manažer provede zápis o provedené administrativní kontrole.</w:t>
      </w:r>
    </w:p>
    <w:p w:rsidR="00A92273" w:rsidRPr="008136B5" w:rsidRDefault="00A92273" w:rsidP="00A92273">
      <w:pPr>
        <w:ind w:left="708"/>
      </w:pPr>
      <w:r w:rsidRPr="008136B5">
        <w:t>3. Kontrola přijatelnosti a administrativní kontrola je prováděna na základě kontrolních listů zpracovaných v souladu s </w:t>
      </w:r>
      <w:r>
        <w:t>danou podporovanou oblastí</w:t>
      </w:r>
      <w:r w:rsidRPr="008136B5">
        <w:t xml:space="preserve">. </w:t>
      </w:r>
    </w:p>
    <w:p w:rsidR="00A92273" w:rsidRPr="008136B5" w:rsidRDefault="00A92273" w:rsidP="00A92273">
      <w:pPr>
        <w:ind w:left="708"/>
      </w:pPr>
      <w:r>
        <w:t>4</w:t>
      </w:r>
      <w:r w:rsidRPr="008136B5">
        <w:t>. Zjistí-li se administrativní kontrolou, že je žádost včetně projektu a příloh neúplná, nebo obsahuje chybné údaje, manažer toto oznámí žadateli do 28 kalendářních dnů od zaevidování žádosti s výzvou k odstranění nedostatků. Oznámení bude sděleno telefonicky, zasláno el. poštou a běžnou poštou</w:t>
      </w:r>
      <w:r>
        <w:t xml:space="preserve"> nebo datovou schránkou</w:t>
      </w:r>
      <w:r w:rsidRPr="008136B5">
        <w:t>.</w:t>
      </w:r>
    </w:p>
    <w:p w:rsidR="00A92273" w:rsidRPr="008136B5" w:rsidRDefault="00A92273" w:rsidP="00A92273">
      <w:pPr>
        <w:ind w:left="708"/>
      </w:pPr>
      <w:r>
        <w:t>5</w:t>
      </w:r>
      <w:r w:rsidRPr="008136B5">
        <w:t>. Termín pro odstranění nedostatků je 14 kalendářních dní. Pokud v této lhůtě žadatel nedostatky neodstraní, považuje se žádost za neúplnou a bude vyřazena.</w:t>
      </w:r>
    </w:p>
    <w:p w:rsidR="00A92273" w:rsidRPr="008136B5" w:rsidRDefault="00A92273" w:rsidP="00A92273">
      <w:pPr>
        <w:ind w:left="708"/>
      </w:pPr>
      <w:r>
        <w:t>6</w:t>
      </w:r>
      <w:r w:rsidRPr="008136B5">
        <w:t>. Po provedení administrativní kontroly a kontroly přijatelnosti informuje MAS žadatele o výsledku kontroly do 5 pracovních dní po ukončení kontroly</w:t>
      </w:r>
    </w:p>
    <w:p w:rsidR="00A92273" w:rsidRPr="008136B5" w:rsidRDefault="00A92273" w:rsidP="00A92273">
      <w:pPr>
        <w:ind w:left="708"/>
      </w:pPr>
      <w:r>
        <w:t>7</w:t>
      </w:r>
      <w:r w:rsidRPr="008136B5">
        <w:t>. Žadatel jehož žádost byla na základě administrativní kontroly vyřazena má možnost do 7 pracovních dnů ode dne následujícího po odeslání doporučené zásilky</w:t>
      </w:r>
      <w:r>
        <w:t xml:space="preserve"> nebo datové zprávy</w:t>
      </w:r>
      <w:r w:rsidRPr="008136B5">
        <w:t xml:space="preserve"> od </w:t>
      </w:r>
      <w:smartTag w:uri="urn:schemas-microsoft-com:office:smarttags" w:element="PersonName">
        <w:r w:rsidRPr="008136B5">
          <w:t>MAS</w:t>
        </w:r>
      </w:smartTag>
      <w:r w:rsidRPr="008136B5">
        <w:t>, podat žádost o přezkoumání postupu. Žádost se předkládá písemně</w:t>
      </w:r>
      <w:r>
        <w:t xml:space="preserve"> v tištěné podobě</w:t>
      </w:r>
      <w:r w:rsidRPr="008136B5">
        <w:t xml:space="preserve"> příslušné </w:t>
      </w:r>
      <w:smartTag w:uri="urn:schemas-microsoft-com:office:smarttags" w:element="PersonName">
        <w:r w:rsidRPr="008136B5">
          <w:t>MAS</w:t>
        </w:r>
      </w:smartTag>
      <w:r w:rsidRPr="008136B5">
        <w:t xml:space="preserve">. Pokud nedojde ke shodnému </w:t>
      </w:r>
      <w:r w:rsidRPr="008136B5">
        <w:lastRenderedPageBreak/>
        <w:t xml:space="preserve">závěru žadatele a </w:t>
      </w:r>
      <w:smartTag w:uri="urn:schemas-microsoft-com:office:smarttags" w:element="PersonName">
        <w:r w:rsidRPr="008136B5">
          <w:t>MAS</w:t>
        </w:r>
      </w:smartTag>
      <w:r w:rsidRPr="008136B5">
        <w:t xml:space="preserve">, má žadatel právo podat žádost o přezkoumání postupu </w:t>
      </w:r>
      <w:smartTag w:uri="urn:schemas-microsoft-com:office:smarttags" w:element="PersonName">
        <w:r w:rsidRPr="008136B5">
          <w:t>MAS</w:t>
        </w:r>
      </w:smartTag>
      <w:r w:rsidRPr="008136B5">
        <w:t xml:space="preserve"> na příslušné</w:t>
      </w:r>
      <w:r>
        <w:t>m orgánu daného OP.</w:t>
      </w:r>
    </w:p>
    <w:p w:rsidR="00A92273" w:rsidRPr="00D9244D" w:rsidRDefault="00A92273" w:rsidP="00A92273"/>
    <w:p w:rsidR="00A92273" w:rsidRPr="00D9244D" w:rsidRDefault="00A92273" w:rsidP="00A92273">
      <w:pPr>
        <w:pStyle w:val="Nadpis3"/>
      </w:pPr>
      <w:bookmarkStart w:id="91" w:name="_Toc406672101"/>
      <w:bookmarkStart w:id="92" w:name="_Toc430006554"/>
      <w:r w:rsidRPr="00D9244D">
        <w:t>Výběr projektů</w:t>
      </w:r>
      <w:bookmarkEnd w:id="91"/>
      <w:bookmarkEnd w:id="92"/>
    </w:p>
    <w:p w:rsidR="00A92273" w:rsidRPr="00892822" w:rsidRDefault="00A92273" w:rsidP="00A92273">
      <w:pPr>
        <w:ind w:left="576"/>
      </w:pPr>
      <w:r>
        <w:t>1. Ž</w:t>
      </w:r>
      <w:r w:rsidRPr="00892822">
        <w:t>ádostí, které nebyly vyřazeny v rámci administrativní kontroly a kontroly přijatelnosti</w:t>
      </w:r>
      <w:r>
        <w:t>,</w:t>
      </w:r>
      <w:r w:rsidRPr="00892822">
        <w:t xml:space="preserve"> postupují k hodnocení Výběrovou komisí.</w:t>
      </w:r>
    </w:p>
    <w:p w:rsidR="00A92273" w:rsidRPr="00892822" w:rsidRDefault="00A92273" w:rsidP="00A92273">
      <w:pPr>
        <w:ind w:left="576"/>
      </w:pPr>
      <w:r w:rsidRPr="00892822">
        <w:t>2. Výběr projektů probíhá na základě hodnocení Výběrové komise MAS dle Preferenčních kritérií.</w:t>
      </w:r>
    </w:p>
    <w:p w:rsidR="00A92273" w:rsidRPr="00892822" w:rsidRDefault="00A92273" w:rsidP="00A92273">
      <w:pPr>
        <w:ind w:left="576"/>
      </w:pPr>
      <w:r w:rsidRPr="00892822">
        <w:t>3. Každý člen Výběrové komise hodnotí všechny předložené projekty a v souladu s příslušnými bodovými škálami přiděluje v rámci každého kritéria body v rozmezí dané bodové škály.</w:t>
      </w:r>
    </w:p>
    <w:p w:rsidR="00A92273" w:rsidRDefault="00A92273" w:rsidP="00A92273">
      <w:pPr>
        <w:ind w:left="576"/>
      </w:pPr>
      <w:r w:rsidRPr="00892822">
        <w:t>4. Členové Výběrové komise postupují při hodnocení projektů v souladu s metodikou k hodnocení preferenčních kritérií</w:t>
      </w:r>
      <w:r>
        <w:t xml:space="preserve"> a v souladu s pravidly daného OP.</w:t>
      </w:r>
      <w:r w:rsidRPr="00892822">
        <w:t xml:space="preserve"> </w:t>
      </w:r>
    </w:p>
    <w:p w:rsidR="00A92273" w:rsidRPr="00A15DBF" w:rsidRDefault="00A92273" w:rsidP="00A92273">
      <w:pPr>
        <w:ind w:left="576"/>
        <w:rPr>
          <w:lang w:eastAsia="cs-CZ"/>
        </w:rPr>
      </w:pPr>
      <w:r w:rsidRPr="00A15DBF">
        <w:rPr>
          <w:lang w:eastAsia="cs-CZ"/>
        </w:rPr>
        <w:t xml:space="preserve">5. </w:t>
      </w:r>
      <w:r>
        <w:rPr>
          <w:lang w:eastAsia="cs-CZ"/>
        </w:rPr>
        <w:t>Členové V</w:t>
      </w:r>
      <w:r w:rsidRPr="00A15DBF">
        <w:rPr>
          <w:lang w:eastAsia="cs-CZ"/>
        </w:rPr>
        <w:t>ýběrové komise se před hodnocením seznámí s preferenčními kritérii, s jejich popisem</w:t>
      </w:r>
      <w:r>
        <w:rPr>
          <w:lang w:eastAsia="cs-CZ"/>
        </w:rPr>
        <w:t>, případnou aktualizací, s výkladem jednotlivých preferenčních kritérií, se základními pravidly OP, s příslušnou podporovanou oblastí</w:t>
      </w:r>
      <w:r w:rsidRPr="00A15DBF">
        <w:rPr>
          <w:lang w:eastAsia="cs-CZ"/>
        </w:rPr>
        <w:t xml:space="preserve"> a se </w:t>
      </w:r>
      <w:r>
        <w:rPr>
          <w:lang w:eastAsia="cs-CZ"/>
        </w:rPr>
        <w:t>strategií</w:t>
      </w:r>
      <w:r w:rsidRPr="00A15DBF">
        <w:rPr>
          <w:lang w:eastAsia="cs-CZ"/>
        </w:rPr>
        <w:t xml:space="preserve"> MAS Litomyšlsko.</w:t>
      </w:r>
      <w:r>
        <w:rPr>
          <w:lang w:eastAsia="cs-CZ"/>
        </w:rPr>
        <w:t xml:space="preserve"> </w:t>
      </w:r>
    </w:p>
    <w:p w:rsidR="00A92273" w:rsidRPr="00A15DBF" w:rsidRDefault="00A92273" w:rsidP="00A92273">
      <w:pPr>
        <w:ind w:left="576"/>
        <w:rPr>
          <w:lang w:eastAsia="cs-CZ"/>
        </w:rPr>
      </w:pPr>
      <w:r w:rsidRPr="00A15DBF">
        <w:t xml:space="preserve">5. </w:t>
      </w:r>
      <w:r w:rsidRPr="00A15DBF">
        <w:rPr>
          <w:lang w:eastAsia="cs-CZ"/>
        </w:rPr>
        <w:t xml:space="preserve">Hodnocení projektů Výběrovou komisí MAS probíhá na dvou zasedáních. </w:t>
      </w:r>
    </w:p>
    <w:p w:rsidR="00A92273" w:rsidRPr="00A15DBF" w:rsidRDefault="00A92273" w:rsidP="00A92273">
      <w:pPr>
        <w:ind w:left="576"/>
        <w:rPr>
          <w:lang w:eastAsia="cs-CZ"/>
        </w:rPr>
      </w:pPr>
      <w:r w:rsidRPr="00A15DBF">
        <w:rPr>
          <w:lang w:eastAsia="cs-CZ"/>
        </w:rPr>
        <w:t>6. Na prvním</w:t>
      </w:r>
      <w:r w:rsidRPr="00A15DBF">
        <w:t xml:space="preserve"> </w:t>
      </w:r>
      <w:r w:rsidRPr="00A15DBF">
        <w:rPr>
          <w:lang w:eastAsia="cs-CZ"/>
        </w:rPr>
        <w:t>zasedání Výběrové komise jsou jednotlivým hodnotitelům přiděleny projekty losem. Členové výběrové komise mají k dispozici minimálně 3 dny na hodnocení projektů a zpracování formulářů bodového hodnocení k jednotlivým projektům. Hodnotitelé posuzují žádosti na základě odevzdaných písemných podkladů</w:t>
      </w:r>
      <w:r>
        <w:rPr>
          <w:lang w:eastAsia="cs-CZ"/>
        </w:rPr>
        <w:t xml:space="preserve"> – žádost o dotaci, popis preferenčních kritérií a jejich naplnění, přílohy k žádosti o dotaci</w:t>
      </w:r>
    </w:p>
    <w:p w:rsidR="00A92273" w:rsidRPr="00A15DBF" w:rsidRDefault="00A92273" w:rsidP="00A92273">
      <w:pPr>
        <w:ind w:left="576"/>
        <w:rPr>
          <w:lang w:eastAsia="cs-CZ"/>
        </w:rPr>
      </w:pPr>
      <w:r>
        <w:rPr>
          <w:lang w:eastAsia="cs-CZ"/>
        </w:rPr>
        <w:t xml:space="preserve">7. </w:t>
      </w:r>
      <w:r w:rsidRPr="00A15DBF">
        <w:rPr>
          <w:lang w:eastAsia="cs-CZ"/>
        </w:rPr>
        <w:t xml:space="preserve">Každý hodnotitel podepisuje </w:t>
      </w:r>
      <w:r w:rsidRPr="00A15DBF">
        <w:rPr>
          <w:bCs/>
          <w:lang w:eastAsia="cs-CZ"/>
        </w:rPr>
        <w:t>čestné prohlášení o nepodjatosti</w:t>
      </w:r>
      <w:r w:rsidRPr="00A15DBF">
        <w:rPr>
          <w:lang w:eastAsia="cs-CZ"/>
        </w:rPr>
        <w:t xml:space="preserve">, které vylučuje střet zájmů a potvrzuje transparentnost a objektivitu při hodnocení projektu. V případě, že by si hodnotitel vylosoval projekt, kde by mohl nastat střet zájmů, je tento projekt </w:t>
      </w:r>
      <w:r w:rsidRPr="00A15DBF">
        <w:rPr>
          <w:lang w:eastAsia="cs-CZ"/>
        </w:rPr>
        <w:lastRenderedPageBreak/>
        <w:t>vrácen zpět k losování a hodnotitel losuje projekt nový.</w:t>
      </w:r>
      <w:r>
        <w:rPr>
          <w:lang w:eastAsia="cs-CZ"/>
        </w:rPr>
        <w:t xml:space="preserve"> Toto ustanovení je nemění podmínky dané pro orgány MAS.</w:t>
      </w:r>
    </w:p>
    <w:p w:rsidR="00A92273" w:rsidRPr="00A15DBF" w:rsidRDefault="00A92273" w:rsidP="00A92273">
      <w:pPr>
        <w:ind w:left="576"/>
        <w:rPr>
          <w:lang w:eastAsia="cs-CZ"/>
        </w:rPr>
      </w:pPr>
      <w:r>
        <w:rPr>
          <w:lang w:eastAsia="cs-CZ"/>
        </w:rPr>
        <w:t>8</w:t>
      </w:r>
      <w:r w:rsidRPr="00A15DBF">
        <w:rPr>
          <w:lang w:eastAsia="cs-CZ"/>
        </w:rPr>
        <w:t>. V případě, že hodnocení obou hodnotitelů bude diametrálně rozdílné (hodnocení jednotlivých hodnotitelů se liší o více jak 30</w:t>
      </w:r>
      <w:r>
        <w:rPr>
          <w:lang w:eastAsia="cs-CZ"/>
        </w:rPr>
        <w:t xml:space="preserve"> %</w:t>
      </w:r>
      <w:r w:rsidRPr="00A15DBF">
        <w:rPr>
          <w:lang w:eastAsia="cs-CZ"/>
        </w:rPr>
        <w:t xml:space="preserve"> bodů), bude projekt dodatečně hodnocen kolizním hodnotitelem. Do dalšího hodnocení projektu se započítává hodnocení kolizního hodnotitele a pak další jedno hodnocení, které je bodově nejblíže hodnocení kolizního hodnotitele.</w:t>
      </w:r>
      <w:r>
        <w:rPr>
          <w:lang w:eastAsia="cs-CZ"/>
        </w:rPr>
        <w:t xml:space="preserve"> </w:t>
      </w:r>
      <w:r w:rsidRPr="00A15DBF">
        <w:rPr>
          <w:lang w:eastAsia="cs-CZ"/>
        </w:rPr>
        <w:t xml:space="preserve"> </w:t>
      </w:r>
    </w:p>
    <w:p w:rsidR="00A92273" w:rsidRPr="00892822" w:rsidRDefault="00A92273" w:rsidP="00A92273">
      <w:pPr>
        <w:ind w:left="576"/>
        <w:rPr>
          <w:lang w:eastAsia="cs-CZ"/>
        </w:rPr>
      </w:pPr>
      <w:r>
        <w:rPr>
          <w:lang w:eastAsia="cs-CZ"/>
        </w:rPr>
        <w:t>9</w:t>
      </w:r>
      <w:r w:rsidRPr="00A15DBF">
        <w:rPr>
          <w:lang w:eastAsia="cs-CZ"/>
        </w:rPr>
        <w:t>. Druhé zasedání probíhá formou veřejného slyšení žadatelů před Výběrovou komisí a před zájemci z řad veřejnosti. Každý žadatel má dispozici maximálně 10</w:t>
      </w:r>
      <w:r w:rsidRPr="00892822">
        <w:rPr>
          <w:lang w:eastAsia="cs-CZ"/>
        </w:rPr>
        <w:t xml:space="preserve"> minut k představení svého projektu a poté odpovídá na doplňující dotazy hodnotitelů. Celý průběh veřejného slyšení je zaznamenáván diktafonem</w:t>
      </w:r>
      <w:r>
        <w:rPr>
          <w:lang w:eastAsia="cs-CZ"/>
        </w:rPr>
        <w:t>.</w:t>
      </w:r>
    </w:p>
    <w:p w:rsidR="00A92273" w:rsidRPr="00892822" w:rsidRDefault="00A92273" w:rsidP="00A92273">
      <w:pPr>
        <w:ind w:left="576"/>
        <w:rPr>
          <w:lang w:eastAsia="cs-CZ"/>
        </w:rPr>
      </w:pPr>
      <w:r>
        <w:rPr>
          <w:lang w:eastAsia="cs-CZ"/>
        </w:rPr>
        <w:t>10</w:t>
      </w:r>
      <w:r w:rsidRPr="00892822">
        <w:rPr>
          <w:lang w:eastAsia="cs-CZ"/>
        </w:rPr>
        <w:t>. Hodnotitelé na základě veřejného slyšení upřesní bodové hodnocení v jednotlivých preferenčních kritériích</w:t>
      </w:r>
      <w:r>
        <w:rPr>
          <w:lang w:eastAsia="cs-CZ"/>
        </w:rPr>
        <w:t>.</w:t>
      </w:r>
    </w:p>
    <w:p w:rsidR="00A92273" w:rsidRDefault="00A92273" w:rsidP="00A92273">
      <w:pPr>
        <w:ind w:left="576"/>
        <w:rPr>
          <w:lang w:eastAsia="cs-CZ"/>
        </w:rPr>
      </w:pPr>
      <w:r>
        <w:t xml:space="preserve">11. </w:t>
      </w:r>
      <w:r w:rsidRPr="00892822">
        <w:t>Každý hodnotitel u každého projektu, který hodnotil, spočítá výsledný součet bodů, podepíše formulář bodového hodnocení a předá jej předsedovi Výběrové komise.</w:t>
      </w:r>
    </w:p>
    <w:p w:rsidR="00A92273" w:rsidRPr="00892822" w:rsidRDefault="00A92273" w:rsidP="00A92273">
      <w:pPr>
        <w:ind w:left="576"/>
        <w:rPr>
          <w:lang w:eastAsia="cs-CZ"/>
        </w:rPr>
      </w:pPr>
      <w:r>
        <w:rPr>
          <w:lang w:eastAsia="cs-CZ"/>
        </w:rPr>
        <w:t>12</w:t>
      </w:r>
      <w:r w:rsidRPr="00892822">
        <w:rPr>
          <w:lang w:eastAsia="cs-CZ"/>
        </w:rPr>
        <w:t>. Druhé zasedání výběrové komise je ukončeno po sestavení pořadí projektů od nejlépe k nejhůře hodnocenému. Toto zasedání musí být ukončeno nejpozději do 10 pracovních dnů od zahájení 1. zasedání.</w:t>
      </w:r>
    </w:p>
    <w:p w:rsidR="00A92273" w:rsidRDefault="00A92273" w:rsidP="00A92273">
      <w:pPr>
        <w:ind w:left="576"/>
        <w:rPr>
          <w:lang w:eastAsia="cs-CZ"/>
        </w:rPr>
      </w:pPr>
      <w:r>
        <w:rPr>
          <w:lang w:eastAsia="cs-CZ"/>
        </w:rPr>
        <w:t>13</w:t>
      </w:r>
      <w:r w:rsidRPr="00892822">
        <w:rPr>
          <w:lang w:eastAsia="cs-CZ"/>
        </w:rPr>
        <w:t xml:space="preserve">. Podle bodového hodnocení je určeno sestupné pořadí jednotlivých projektů a v závislosti na finanční alokaci jsou vybrány projekty k </w:t>
      </w:r>
      <w:r>
        <w:rPr>
          <w:lang w:eastAsia="cs-CZ"/>
        </w:rPr>
        <w:t>předložení příslušnému orgánu daného OP</w:t>
      </w:r>
      <w:r w:rsidRPr="00892822">
        <w:rPr>
          <w:lang w:eastAsia="cs-CZ"/>
        </w:rPr>
        <w:t xml:space="preserve">. </w:t>
      </w:r>
    </w:p>
    <w:p w:rsidR="00A92273" w:rsidRPr="00892822" w:rsidRDefault="00A92273" w:rsidP="00A92273">
      <w:pPr>
        <w:ind w:left="576"/>
        <w:rPr>
          <w:lang w:eastAsia="cs-CZ"/>
        </w:rPr>
      </w:pPr>
      <w:r>
        <w:rPr>
          <w:lang w:eastAsia="cs-CZ"/>
        </w:rPr>
        <w:t>14</w:t>
      </w:r>
      <w:r w:rsidRPr="00892822">
        <w:rPr>
          <w:lang w:eastAsia="cs-CZ"/>
        </w:rPr>
        <w:t xml:space="preserve">. Hodnocení projektů, pořadí projektů a výběr projektů k podpoře schvaluje </w:t>
      </w:r>
      <w:r>
        <w:rPr>
          <w:lang w:eastAsia="cs-CZ"/>
        </w:rPr>
        <w:t>Nejvyšší orgán MAS</w:t>
      </w:r>
      <w:r w:rsidRPr="00892822">
        <w:rPr>
          <w:lang w:eastAsia="cs-CZ"/>
        </w:rPr>
        <w:t xml:space="preserve">. </w:t>
      </w:r>
    </w:p>
    <w:p w:rsidR="00A92273" w:rsidRPr="00892822" w:rsidRDefault="00A92273" w:rsidP="00A92273">
      <w:pPr>
        <w:ind w:left="576"/>
        <w:rPr>
          <w:lang w:eastAsia="cs-CZ"/>
        </w:rPr>
      </w:pPr>
      <w:r>
        <w:rPr>
          <w:lang w:eastAsia="cs-CZ"/>
        </w:rPr>
        <w:t>15</w:t>
      </w:r>
      <w:r w:rsidRPr="00892822">
        <w:rPr>
          <w:lang w:eastAsia="cs-CZ"/>
        </w:rPr>
        <w:t>. Schvalování se řídí těmito zásadami:</w:t>
      </w:r>
    </w:p>
    <w:p w:rsidR="00A92273" w:rsidRPr="00D9244D" w:rsidRDefault="00A92273" w:rsidP="00A92273">
      <w:pPr>
        <w:ind w:left="576"/>
        <w:rPr>
          <w:rFonts w:eastAsia="SymbolMT"/>
          <w:lang w:eastAsia="cs-CZ"/>
        </w:rPr>
      </w:pPr>
      <w:r>
        <w:rPr>
          <w:rFonts w:eastAsia="MS Mincho"/>
          <w:lang w:eastAsia="cs-CZ"/>
        </w:rPr>
        <w:t xml:space="preserve">- </w:t>
      </w:r>
      <w:r w:rsidRPr="00892822">
        <w:rPr>
          <w:lang w:eastAsia="cs-CZ"/>
        </w:rPr>
        <w:t>respektovat pořadí, v jakém byly projekty seřazeny dle bodového hodnocení,</w:t>
      </w:r>
    </w:p>
    <w:p w:rsidR="00A92273" w:rsidRPr="00892822" w:rsidRDefault="00A92273" w:rsidP="00A92273">
      <w:pPr>
        <w:ind w:left="576"/>
        <w:rPr>
          <w:lang w:eastAsia="cs-CZ"/>
        </w:rPr>
      </w:pPr>
      <w:r>
        <w:rPr>
          <w:rFonts w:eastAsia="MS Mincho"/>
          <w:lang w:eastAsia="cs-CZ"/>
        </w:rPr>
        <w:t>-</w:t>
      </w:r>
      <w:r w:rsidRPr="00892822">
        <w:rPr>
          <w:rFonts w:eastAsia="SymbolMT"/>
          <w:lang w:eastAsia="cs-CZ"/>
        </w:rPr>
        <w:t xml:space="preserve"> </w:t>
      </w:r>
      <w:r w:rsidRPr="00892822">
        <w:rPr>
          <w:lang w:eastAsia="cs-CZ"/>
        </w:rPr>
        <w:t>respektovat alokace na jednotlivou výzvu a opatření, tato alokace nesmí být překročena, ale</w:t>
      </w:r>
      <w:r>
        <w:rPr>
          <w:lang w:eastAsia="cs-CZ"/>
        </w:rPr>
        <w:t xml:space="preserve"> </w:t>
      </w:r>
      <w:r w:rsidRPr="00892822">
        <w:rPr>
          <w:lang w:eastAsia="cs-CZ"/>
        </w:rPr>
        <w:t>nemusí být dočerpána,</w:t>
      </w:r>
    </w:p>
    <w:p w:rsidR="00A92273" w:rsidRPr="00892822" w:rsidRDefault="00A92273" w:rsidP="00A92273">
      <w:pPr>
        <w:ind w:left="576"/>
        <w:rPr>
          <w:lang w:eastAsia="cs-CZ"/>
        </w:rPr>
      </w:pPr>
      <w:r>
        <w:rPr>
          <w:lang w:eastAsia="cs-CZ"/>
        </w:rPr>
        <w:lastRenderedPageBreak/>
        <w:t xml:space="preserve">- v případě, že se žádost o dotaci svými body dostane přes hranici finanční alokace pro jednotlivé oblasti, je možno na základě písmeného potvrzení snížit požadovanou částku dotace a žadatele tak zařadit do seznamu navržených žádostí o dotaci. </w:t>
      </w:r>
    </w:p>
    <w:p w:rsidR="00A92273" w:rsidRPr="00892822" w:rsidRDefault="00A92273" w:rsidP="00A92273">
      <w:pPr>
        <w:ind w:left="576"/>
      </w:pPr>
      <w:r>
        <w:t xml:space="preserve">16. </w:t>
      </w:r>
      <w:r w:rsidRPr="00892822">
        <w:t>Konečný seznam vybraných a nevybraných proje</w:t>
      </w:r>
      <w:r>
        <w:t>ktů je bez odkladu nejpozději do 2 pracovních dnů po schválení Nejvyšším orgánem</w:t>
      </w:r>
      <w:r w:rsidRPr="00892822">
        <w:t xml:space="preserve"> zveřejněn na webových stránkách MAS.</w:t>
      </w:r>
    </w:p>
    <w:p w:rsidR="00A92273" w:rsidRPr="00892822" w:rsidRDefault="00A92273" w:rsidP="00A92273">
      <w:pPr>
        <w:ind w:left="576"/>
      </w:pPr>
      <w:r>
        <w:t xml:space="preserve">17. </w:t>
      </w:r>
      <w:r w:rsidRPr="00892822">
        <w:t xml:space="preserve">Úspěšným žadatelům je zasláno Rozhodnutí o podpoření projektu podepsané ředitelem MAS. Neúspěšným žadatelům je zasláno Rozhodnutí o nepodpoření projektu podepsané ředitelem MAS. </w:t>
      </w:r>
    </w:p>
    <w:p w:rsidR="00A92273" w:rsidRPr="00892822" w:rsidRDefault="00A92273" w:rsidP="00A92273">
      <w:pPr>
        <w:ind w:left="576"/>
        <w:rPr>
          <w:lang w:eastAsia="cs-CZ"/>
        </w:rPr>
      </w:pPr>
      <w:r>
        <w:rPr>
          <w:lang w:eastAsia="cs-CZ"/>
        </w:rPr>
        <w:t>18</w:t>
      </w:r>
      <w:r w:rsidRPr="00892822">
        <w:rPr>
          <w:lang w:eastAsia="cs-CZ"/>
        </w:rPr>
        <w:t>. Vybrané pro</w:t>
      </w:r>
      <w:r>
        <w:rPr>
          <w:lang w:eastAsia="cs-CZ"/>
        </w:rPr>
        <w:t>jekty jsou manažerem MAS předány</w:t>
      </w:r>
      <w:r w:rsidRPr="00892822">
        <w:rPr>
          <w:lang w:eastAsia="cs-CZ"/>
        </w:rPr>
        <w:t xml:space="preserve"> k zaregistrování a ke kontrole na </w:t>
      </w:r>
      <w:r>
        <w:rPr>
          <w:lang w:eastAsia="cs-CZ"/>
        </w:rPr>
        <w:t>příslušný orgán odpovědný za daný OP</w:t>
      </w:r>
      <w:r w:rsidRPr="00892822">
        <w:rPr>
          <w:lang w:eastAsia="cs-CZ"/>
        </w:rPr>
        <w:t>.</w:t>
      </w:r>
    </w:p>
    <w:p w:rsidR="00A92273" w:rsidRPr="00892822" w:rsidRDefault="00A92273" w:rsidP="00A92273">
      <w:pPr>
        <w:ind w:left="576"/>
        <w:rPr>
          <w:lang w:eastAsia="cs-CZ"/>
        </w:rPr>
      </w:pPr>
      <w:r>
        <w:t xml:space="preserve">19. </w:t>
      </w:r>
      <w:r>
        <w:rPr>
          <w:lang w:eastAsia="cs-CZ"/>
        </w:rPr>
        <w:t>Příslušný orgán odpovědný za daný OP</w:t>
      </w:r>
      <w:r w:rsidRPr="00892822">
        <w:t xml:space="preserve"> provede ověření administrativní kontroly. V případě zjištění ned</w:t>
      </w:r>
      <w:r>
        <w:t>ostatků zašle do 20.</w:t>
      </w:r>
      <w:r w:rsidRPr="00892822">
        <w:t xml:space="preserve"> kalendářních dnů od posledního dne registrace žádostí v daném kole na MAS Žádost o doplnění neúplné dokumentace. Manažer MAS zajistí doručení této žádosti konečným žadatelům.</w:t>
      </w:r>
    </w:p>
    <w:p w:rsidR="00A92273" w:rsidRPr="00892822" w:rsidRDefault="00A92273" w:rsidP="00A92273">
      <w:pPr>
        <w:ind w:left="576"/>
        <w:rPr>
          <w:lang w:eastAsia="cs-CZ"/>
        </w:rPr>
      </w:pPr>
      <w:r>
        <w:t xml:space="preserve">21. </w:t>
      </w:r>
      <w:r w:rsidRPr="00892822">
        <w:t xml:space="preserve">Žadatelé nebo manažer MAS na základě zplnomocnění konečnými žadateli doplní chybnou dokumentaci na </w:t>
      </w:r>
      <w:r>
        <w:rPr>
          <w:lang w:eastAsia="cs-CZ"/>
        </w:rPr>
        <w:t>příslušný orgán odpovědný za daný OP</w:t>
      </w:r>
      <w:r w:rsidRPr="00892822">
        <w:t xml:space="preserve"> do 21 kalendářních dnů ode</w:t>
      </w:r>
      <w:r w:rsidRPr="00892822">
        <w:rPr>
          <w:color w:val="000000"/>
        </w:rPr>
        <w:t xml:space="preserve"> dne následujícího po dni odeslání Žádosti o doplnění</w:t>
      </w:r>
      <w:r w:rsidRPr="00892822">
        <w:t>. Poté pracovník MAS zajistí doručení potvrzení o bezchybnosti dokumentace konečným žadatelům.</w:t>
      </w:r>
    </w:p>
    <w:p w:rsidR="00A92273" w:rsidRDefault="00A92273" w:rsidP="00A92273">
      <w:pPr>
        <w:pStyle w:val="Nadpis3"/>
      </w:pPr>
      <w:bookmarkStart w:id="93" w:name="_Toc406672102"/>
      <w:bookmarkStart w:id="94" w:name="_Toc430006555"/>
      <w:r>
        <w:t>Kontrola žadatelů a realizace projektů</w:t>
      </w:r>
      <w:bookmarkEnd w:id="93"/>
      <w:bookmarkEnd w:id="94"/>
    </w:p>
    <w:p w:rsidR="00A92273" w:rsidRPr="00C62DD0" w:rsidRDefault="00A92273" w:rsidP="00A92273">
      <w:r w:rsidRPr="00C62DD0">
        <w:t xml:space="preserve">1. Administraci v průběhu realizace projektů a kontrolu žadatelů zajišťuje sekretariát MAS. </w:t>
      </w:r>
    </w:p>
    <w:p w:rsidR="00A92273" w:rsidRPr="00C62DD0" w:rsidRDefault="00A92273" w:rsidP="00A92273">
      <w:pPr>
        <w:suppressAutoHyphens w:val="0"/>
        <w:autoSpaceDE w:val="0"/>
        <w:autoSpaceDN w:val="0"/>
        <w:adjustRightInd w:val="0"/>
        <w:rPr>
          <w:lang w:eastAsia="cs-CZ"/>
        </w:rPr>
      </w:pPr>
      <w:r w:rsidRPr="00C62DD0">
        <w:t xml:space="preserve">2. Pracovníci sekretariátu MAS zajišťují vedení složek jednotlivých projektů. </w:t>
      </w:r>
      <w:r w:rsidRPr="00C62DD0">
        <w:rPr>
          <w:lang w:eastAsia="cs-CZ"/>
        </w:rPr>
        <w:t>Jednotlivé složky projektů obsahující veškerou dokumentaci</w:t>
      </w:r>
      <w:r>
        <w:rPr>
          <w:lang w:eastAsia="cs-CZ"/>
        </w:rPr>
        <w:t>,</w:t>
      </w:r>
      <w:r w:rsidRPr="00C62DD0">
        <w:rPr>
          <w:lang w:eastAsia="cs-CZ"/>
        </w:rPr>
        <w:t xml:space="preserve"> jsou ukládány v uzamykatelné</w:t>
      </w:r>
    </w:p>
    <w:p w:rsidR="00A92273" w:rsidRPr="00C62DD0" w:rsidRDefault="00A92273" w:rsidP="00A92273">
      <w:r w:rsidRPr="00C62DD0">
        <w:rPr>
          <w:lang w:eastAsia="cs-CZ"/>
        </w:rPr>
        <w:t>archivační skříni umístěné v kanceláři manažera MAS. Veškeré dokum</w:t>
      </w:r>
      <w:r>
        <w:rPr>
          <w:lang w:eastAsia="cs-CZ"/>
        </w:rPr>
        <w:t>enty související s realizací strategie</w:t>
      </w:r>
      <w:r w:rsidRPr="00C62DD0">
        <w:rPr>
          <w:lang w:eastAsia="cs-CZ"/>
        </w:rPr>
        <w:t xml:space="preserve"> budou archivovány po dobu 10 let. </w:t>
      </w:r>
    </w:p>
    <w:p w:rsidR="00A92273" w:rsidRPr="00C62DD0" w:rsidRDefault="00A92273" w:rsidP="00A92273">
      <w:r w:rsidRPr="00C62DD0">
        <w:t>3. Kontrola žadatelů je prováděna předběžně a s předstihem už při příjmu žádosti o dotaci. Kontrolovány jsou údaje v administrativním registru ekonomických subjektů a uspořádání vlastnických/nájemních vztahů k nemovitostem, které jsou předmětem realizace projektu.</w:t>
      </w:r>
    </w:p>
    <w:p w:rsidR="00A92273" w:rsidRPr="00C62DD0" w:rsidRDefault="00A92273" w:rsidP="00A92273">
      <w:r w:rsidRPr="00C62DD0">
        <w:lastRenderedPageBreak/>
        <w:t xml:space="preserve">4. Pro žadatele i příjemce jsou vytvořeny </w:t>
      </w:r>
      <w:r>
        <w:t>pokyny</w:t>
      </w:r>
      <w:r w:rsidRPr="00C62DD0">
        <w:t>, které shrnují všechny hlavní povinnosti žadatelů a příjemců dotace a základní doporučení pro žadatele a příjemce dotace. Pokyny pro žadatele a Pokyny pro příjemce dotace jsou průběžně aktualizovány v souvislosti s novými skutečnostmi</w:t>
      </w:r>
      <w:r>
        <w:t xml:space="preserve"> nebo v souvislosti se změnami p</w:t>
      </w:r>
      <w:r w:rsidRPr="00C62DD0">
        <w:t>ravidel.</w:t>
      </w:r>
    </w:p>
    <w:p w:rsidR="00A92273" w:rsidRPr="00C62DD0" w:rsidRDefault="00A92273" w:rsidP="00A92273">
      <w:pPr>
        <w:suppressAutoHyphens w:val="0"/>
        <w:autoSpaceDE w:val="0"/>
        <w:autoSpaceDN w:val="0"/>
        <w:adjustRightInd w:val="0"/>
        <w:rPr>
          <w:color w:val="000000"/>
          <w:lang w:eastAsia="cs-CZ"/>
        </w:rPr>
      </w:pPr>
      <w:r w:rsidRPr="00C62DD0">
        <w:t xml:space="preserve">5. </w:t>
      </w:r>
      <w:r w:rsidRPr="00C62DD0">
        <w:rPr>
          <w:color w:val="000000"/>
          <w:lang w:eastAsia="cs-CZ"/>
        </w:rPr>
        <w:t xml:space="preserve">V průběhu administrace a realizace projektů konečných žadatelů je MAS povinna předávat potřebnou dokumentaci </w:t>
      </w:r>
      <w:r>
        <w:rPr>
          <w:color w:val="000000"/>
          <w:lang w:eastAsia="cs-CZ"/>
        </w:rPr>
        <w:t xml:space="preserve">na </w:t>
      </w:r>
      <w:r>
        <w:rPr>
          <w:lang w:eastAsia="cs-CZ"/>
        </w:rPr>
        <w:t>příslušný orgán odpovědný za daný OP</w:t>
      </w:r>
      <w:r w:rsidRPr="00C62DD0">
        <w:rPr>
          <w:color w:val="000000"/>
          <w:lang w:eastAsia="cs-CZ"/>
        </w:rPr>
        <w:t xml:space="preserve"> konečnému žadateli a naopak</w:t>
      </w:r>
      <w:r>
        <w:rPr>
          <w:color w:val="000000"/>
          <w:lang w:eastAsia="cs-CZ"/>
        </w:rPr>
        <w:t>.</w:t>
      </w:r>
    </w:p>
    <w:p w:rsidR="00A92273" w:rsidRPr="00C62DD0" w:rsidRDefault="00A92273" w:rsidP="00A92273">
      <w:pPr>
        <w:suppressAutoHyphens w:val="0"/>
        <w:autoSpaceDE w:val="0"/>
        <w:autoSpaceDN w:val="0"/>
        <w:adjustRightInd w:val="0"/>
        <w:rPr>
          <w:lang w:eastAsia="cs-CZ"/>
        </w:rPr>
      </w:pPr>
      <w:r w:rsidRPr="00C62DD0">
        <w:rPr>
          <w:color w:val="000000"/>
          <w:lang w:eastAsia="cs-CZ"/>
        </w:rPr>
        <w:t xml:space="preserve">6. Příjemci informují neodkladně MAS o všech podstatných skutečnostech, které mohou mít vliv na realizaci projektu </w:t>
      </w:r>
    </w:p>
    <w:p w:rsidR="00A92273" w:rsidRPr="00C62DD0" w:rsidRDefault="00A92273" w:rsidP="00A92273">
      <w:pPr>
        <w:suppressAutoHyphens w:val="0"/>
        <w:autoSpaceDE w:val="0"/>
        <w:autoSpaceDN w:val="0"/>
        <w:adjustRightInd w:val="0"/>
        <w:rPr>
          <w:lang w:eastAsia="cs-CZ"/>
        </w:rPr>
      </w:pPr>
      <w:r w:rsidRPr="00C62DD0">
        <w:rPr>
          <w:lang w:eastAsia="cs-CZ"/>
        </w:rPr>
        <w:t>7. V průběhu realizace jednotlivých projektů konzultují manažeři MAS s příjemci</w:t>
      </w:r>
      <w:r>
        <w:rPr>
          <w:lang w:eastAsia="cs-CZ"/>
        </w:rPr>
        <w:t xml:space="preserve"> dotazy a </w:t>
      </w:r>
      <w:r w:rsidRPr="00C62DD0">
        <w:rPr>
          <w:lang w:eastAsia="cs-CZ"/>
        </w:rPr>
        <w:t xml:space="preserve">problémy a poskytují metodickou pomoc včetně všech příruček a formulářů. </w:t>
      </w:r>
    </w:p>
    <w:p w:rsidR="00A92273" w:rsidRPr="00C62DD0" w:rsidRDefault="00A92273" w:rsidP="00A92273">
      <w:pPr>
        <w:suppressAutoHyphens w:val="0"/>
        <w:autoSpaceDE w:val="0"/>
        <w:autoSpaceDN w:val="0"/>
        <w:adjustRightInd w:val="0"/>
        <w:rPr>
          <w:lang w:eastAsia="cs-CZ"/>
        </w:rPr>
      </w:pPr>
      <w:r w:rsidRPr="00C62DD0">
        <w:rPr>
          <w:lang w:eastAsia="cs-CZ"/>
        </w:rPr>
        <w:t xml:space="preserve">8. Alespoň jednou v průběhu realizace každého projektu proběhne kontrola realizace projektu přímo v místě realizace manažerem MAS. </w:t>
      </w:r>
      <w:r>
        <w:rPr>
          <w:lang w:eastAsia="cs-CZ"/>
        </w:rPr>
        <w:t xml:space="preserve">Kontrola se prování formou monitoringu a výstupem je fotografická dokumentace a písmená zpráva, která po ukončení realizace projektu je v kopii zaslána žadateli. Fotodokumentace z monitoringu je součástí monitorovací zprávy a fotografie jsou uveřejněny ve fotogalerii na webových stránkách MAS. </w:t>
      </w:r>
    </w:p>
    <w:p w:rsidR="00A92273" w:rsidRPr="00C62DD0" w:rsidRDefault="00A92273" w:rsidP="00A92273">
      <w:pPr>
        <w:suppressAutoHyphens w:val="0"/>
        <w:autoSpaceDE w:val="0"/>
        <w:autoSpaceDN w:val="0"/>
        <w:adjustRightInd w:val="0"/>
      </w:pPr>
      <w:r w:rsidRPr="00C62DD0">
        <w:rPr>
          <w:lang w:eastAsia="cs-CZ"/>
        </w:rPr>
        <w:t xml:space="preserve">9. </w:t>
      </w:r>
      <w:r w:rsidRPr="00C62DD0">
        <w:t>Pracovník MAS provede fyzickou kontrolu na místě realizace, posoudí správnost faktických údajů (místo realizace, rozsah realizace), shodu s harmonogramem projektu, naplňování preferenčních kritérií, zkontroluje doklady, upozorní na nedostatky a nechá konečnému žadateli lhůtu k jejich odstranění. Nebude-li sjednána náprava, po odsouhlasení se SZIF ukončí MAS administraci a vyřadí konečného žadatele.</w:t>
      </w:r>
    </w:p>
    <w:p w:rsidR="00A92273" w:rsidRPr="00C62DD0" w:rsidRDefault="00A92273" w:rsidP="00A92273">
      <w:pPr>
        <w:rPr>
          <w:lang w:eastAsia="cs-CZ"/>
        </w:rPr>
      </w:pPr>
      <w:r>
        <w:rPr>
          <w:lang w:eastAsia="cs-CZ"/>
        </w:rPr>
        <w:t>10</w:t>
      </w:r>
      <w:r w:rsidRPr="00C62DD0">
        <w:rPr>
          <w:lang w:eastAsia="cs-CZ"/>
        </w:rPr>
        <w:t>. Pokud se v průběhu realizace projektu vyskytnou skuteč</w:t>
      </w:r>
      <w:r>
        <w:rPr>
          <w:lang w:eastAsia="cs-CZ"/>
        </w:rPr>
        <w:t>nosti, které povedou ke změně v </w:t>
      </w:r>
      <w:r w:rsidRPr="00C62DD0">
        <w:rPr>
          <w:lang w:eastAsia="cs-CZ"/>
        </w:rPr>
        <w:t xml:space="preserve">projektu, má žadatel povinnost tyto změny konzultovat s manažerem MAS a po této </w:t>
      </w:r>
      <w:r>
        <w:rPr>
          <w:lang w:eastAsia="cs-CZ"/>
        </w:rPr>
        <w:t>konzultaci případně vypracovat h</w:t>
      </w:r>
      <w:r w:rsidRPr="00C62DD0">
        <w:rPr>
          <w:lang w:eastAsia="cs-CZ"/>
        </w:rPr>
        <w:t xml:space="preserve">lášení o změnách. </w:t>
      </w:r>
      <w:r>
        <w:rPr>
          <w:bCs/>
          <w:lang w:eastAsia="cs-CZ"/>
        </w:rPr>
        <w:t>Toto hlášení se podává na MAS v </w:t>
      </w:r>
      <w:r w:rsidRPr="00C62DD0">
        <w:rPr>
          <w:bCs/>
          <w:lang w:eastAsia="cs-CZ"/>
        </w:rPr>
        <w:t xml:space="preserve">dostatečném předstihu, min. 5 pracovních dní předem. </w:t>
      </w:r>
      <w:r w:rsidRPr="00C62DD0">
        <w:rPr>
          <w:lang w:eastAsia="cs-CZ"/>
        </w:rPr>
        <w:t xml:space="preserve">MAS potvrdí převzetí </w:t>
      </w:r>
      <w:r>
        <w:rPr>
          <w:lang w:eastAsia="cs-CZ"/>
        </w:rPr>
        <w:t>h</w:t>
      </w:r>
      <w:r w:rsidRPr="00C62DD0">
        <w:rPr>
          <w:lang w:eastAsia="cs-CZ"/>
        </w:rPr>
        <w:t>lášení o změnách, provede jeho kontrolu a v případě, že je vše v pořádku a se změna</w:t>
      </w:r>
      <w:r>
        <w:rPr>
          <w:lang w:eastAsia="cs-CZ"/>
        </w:rPr>
        <w:t>mi souhlasí, hlášení potvrdí a h</w:t>
      </w:r>
      <w:r w:rsidRPr="00C62DD0">
        <w:rPr>
          <w:lang w:eastAsia="cs-CZ"/>
        </w:rPr>
        <w:t xml:space="preserve">lášení je odesláno na </w:t>
      </w:r>
      <w:r>
        <w:rPr>
          <w:lang w:eastAsia="cs-CZ"/>
        </w:rPr>
        <w:t>příslušný orgán odpovědný za daný OP</w:t>
      </w:r>
      <w:r w:rsidRPr="00C62DD0">
        <w:rPr>
          <w:lang w:eastAsia="cs-CZ"/>
        </w:rPr>
        <w:t xml:space="preserve">. </w:t>
      </w:r>
    </w:p>
    <w:p w:rsidR="00A92273" w:rsidRPr="00C62DD0" w:rsidRDefault="00A92273" w:rsidP="00A92273">
      <w:pPr>
        <w:rPr>
          <w:lang w:eastAsia="cs-CZ"/>
        </w:rPr>
      </w:pPr>
      <w:r>
        <w:rPr>
          <w:lang w:eastAsia="cs-CZ"/>
        </w:rPr>
        <w:t>11</w:t>
      </w:r>
      <w:r w:rsidRPr="00C62DD0">
        <w:rPr>
          <w:lang w:eastAsia="cs-CZ"/>
        </w:rPr>
        <w:t xml:space="preserve">. V termínu ukončení projektu podá žadatel Žádost o proplacení včetně všech příloh a příslušné fotodokumentace. Sekretariátem MAS je provedena kontrola všech dokumentů předložených příjemcem včetně účetních dokladů žadatele. Kontrola je prováděna dle </w:t>
      </w:r>
      <w:r w:rsidRPr="00C62DD0">
        <w:rPr>
          <w:lang w:eastAsia="cs-CZ"/>
        </w:rPr>
        <w:lastRenderedPageBreak/>
        <w:t xml:space="preserve">kontrolního listu. Příjemce může být vyzván k doplnění. Manažer MAS pak potvrdí úplnost </w:t>
      </w:r>
      <w:r>
        <w:rPr>
          <w:lang w:eastAsia="cs-CZ"/>
        </w:rPr>
        <w:t>ž</w:t>
      </w:r>
      <w:r w:rsidRPr="00C62DD0">
        <w:rPr>
          <w:lang w:eastAsia="cs-CZ"/>
        </w:rPr>
        <w:t xml:space="preserve">ádosti o proplacení svým podpisem. Termíny </w:t>
      </w:r>
      <w:r>
        <w:rPr>
          <w:lang w:eastAsia="cs-CZ"/>
        </w:rPr>
        <w:t>ž</w:t>
      </w:r>
      <w:r w:rsidRPr="00C62DD0">
        <w:rPr>
          <w:lang w:eastAsia="cs-CZ"/>
        </w:rPr>
        <w:t xml:space="preserve">ádostí o placení jsou sledovány manažerem MAS, který příjemce včas upozorní na povinnost připravit </w:t>
      </w:r>
      <w:r>
        <w:rPr>
          <w:lang w:eastAsia="cs-CZ"/>
        </w:rPr>
        <w:t>ž</w:t>
      </w:r>
      <w:r w:rsidRPr="00C62DD0">
        <w:rPr>
          <w:lang w:eastAsia="cs-CZ"/>
        </w:rPr>
        <w:t>ádost o proplacení.</w:t>
      </w:r>
    </w:p>
    <w:p w:rsidR="00A92273" w:rsidRDefault="00A92273" w:rsidP="00A92273">
      <w:pPr>
        <w:rPr>
          <w:lang w:eastAsia="cs-CZ"/>
        </w:rPr>
      </w:pPr>
    </w:p>
    <w:p w:rsidR="00A92273" w:rsidRPr="00C62DD0" w:rsidRDefault="00A92273" w:rsidP="00A92273">
      <w:r>
        <w:rPr>
          <w:lang w:eastAsia="cs-CZ"/>
        </w:rPr>
        <w:t xml:space="preserve">12. </w:t>
      </w:r>
      <w:r w:rsidRPr="00C62DD0">
        <w:t xml:space="preserve">Zkontrolovanou </w:t>
      </w:r>
      <w:r>
        <w:t>ž</w:t>
      </w:r>
      <w:r w:rsidRPr="00C62DD0">
        <w:t xml:space="preserve">ádost o proplacení podá na </w:t>
      </w:r>
      <w:r>
        <w:rPr>
          <w:lang w:eastAsia="cs-CZ"/>
        </w:rPr>
        <w:t>příslušný orgán odpovědný za daný OP</w:t>
      </w:r>
      <w:r w:rsidRPr="00C62DD0">
        <w:t xml:space="preserve"> konečný žadatel spolu s ostatními povinnými přílohami a kopií kontrolního listu.</w:t>
      </w:r>
    </w:p>
    <w:p w:rsidR="00A92273" w:rsidRPr="00C62DD0" w:rsidRDefault="00A92273" w:rsidP="00A92273">
      <w:pPr>
        <w:rPr>
          <w:lang w:eastAsia="cs-CZ"/>
        </w:rPr>
      </w:pPr>
      <w:r w:rsidRPr="00C62DD0">
        <w:t xml:space="preserve">11. Manažer MAS se v případě výslovného přání příjemce nebo </w:t>
      </w:r>
      <w:r>
        <w:rPr>
          <w:lang w:eastAsia="cs-CZ"/>
        </w:rPr>
        <w:t>příslušného orgánu odpovědného za daný OP</w:t>
      </w:r>
      <w:r w:rsidRPr="00C62DD0">
        <w:t xml:space="preserve"> účas</w:t>
      </w:r>
      <w:r>
        <w:t>tní jím prováděné kontroly na míst.</w:t>
      </w:r>
    </w:p>
    <w:p w:rsidR="00A92273" w:rsidRDefault="00A92273" w:rsidP="00A92273">
      <w:r w:rsidRPr="00C62DD0">
        <w:rPr>
          <w:lang w:eastAsia="cs-CZ"/>
        </w:rPr>
        <w:t xml:space="preserve">12. Sekretariátem MAS je také zajišťována udržitelnost jednotlivých projektů. </w:t>
      </w:r>
      <w:r w:rsidRPr="00C62DD0">
        <w:t>Konečný příjemce dotace informuje o všech podstatných skutečnostech MAS. Příjemce dotace odevzdává nejpozději do 2 měsíců od uplynutí ročního monitorovacího období vyplněné Monitorovací zprávy o udržitelnosti projektu sekretariátu MAS, v nichž informuje MAS o průběhu udržitelnosti projektu, vývoji pokroku projektu a o naplňování monitorovacích indikátorů</w:t>
      </w:r>
      <w:r>
        <w:t xml:space="preserve">, přikládá povinnou fotodokumentaci. </w:t>
      </w:r>
    </w:p>
    <w:p w:rsidR="00A92273" w:rsidRPr="00C62DD0" w:rsidRDefault="00A92273" w:rsidP="00A92273">
      <w:pPr>
        <w:rPr>
          <w:lang w:eastAsia="cs-CZ"/>
        </w:rPr>
      </w:pPr>
      <w:r>
        <w:t>13. Monitorovací zprávy z doby udržitelnosti jsou archivovány na kanceláři MAS.</w:t>
      </w:r>
    </w:p>
    <w:p w:rsidR="00A92273" w:rsidRPr="00A92273" w:rsidRDefault="00A92273" w:rsidP="00A92273">
      <w:pPr>
        <w:pStyle w:val="Nadpis3"/>
      </w:pPr>
      <w:bookmarkStart w:id="95" w:name="_Toc406672103"/>
      <w:bookmarkStart w:id="96" w:name="_Toc430006556"/>
      <w:r w:rsidRPr="00A92273">
        <w:t>Monitoring</w:t>
      </w:r>
      <w:bookmarkEnd w:id="95"/>
      <w:bookmarkEnd w:id="96"/>
    </w:p>
    <w:p w:rsidR="00A92273" w:rsidRPr="009C4EF3" w:rsidRDefault="00A92273" w:rsidP="00A92273">
      <w:pPr>
        <w:rPr>
          <w:rFonts w:eastAsia="Arial"/>
        </w:rPr>
      </w:pPr>
      <w:r w:rsidRPr="009C4EF3">
        <w:rPr>
          <w:rFonts w:eastAsia="Arial"/>
        </w:rPr>
        <w:t>Monitorování je průběžné sledování, sběr dat a informací o projektech, zabezpečuje dohled nad tím, aby finanční prostředky byly využity maximálně efektivně k naplnění cílů, které byly stanoveny, slouží jak příjemcům podpory, tak i poskytovatelům podpory ke sledování průběhu realizace projektů i k případné včasné identifikaci možných rizik a zabránění chybám a nesrovnalostem ve financování projektů.</w:t>
      </w:r>
    </w:p>
    <w:p w:rsidR="00A92273" w:rsidRPr="009C4EF3" w:rsidRDefault="00A92273" w:rsidP="00A92273">
      <w:pPr>
        <w:rPr>
          <w:lang w:eastAsia="cs-CZ"/>
        </w:rPr>
      </w:pPr>
      <w:r w:rsidRPr="009C4EF3">
        <w:rPr>
          <w:lang w:eastAsia="cs-CZ"/>
        </w:rPr>
        <w:t xml:space="preserve">Monitoring poskytuje MAS zpětnou vazbu k řádné realizaci </w:t>
      </w:r>
      <w:r>
        <w:rPr>
          <w:lang w:eastAsia="cs-CZ"/>
        </w:rPr>
        <w:t>strategie</w:t>
      </w:r>
      <w:r w:rsidRPr="009C4EF3">
        <w:rPr>
          <w:lang w:eastAsia="cs-CZ"/>
        </w:rPr>
        <w:t xml:space="preserve"> a napomáhá při úpravě odchylek od stanovených cílů. Monitorování je zaměřeno jak na věcnou, tak na finanční stránku realizace </w:t>
      </w:r>
      <w:r>
        <w:rPr>
          <w:lang w:eastAsia="cs-CZ"/>
        </w:rPr>
        <w:t>strategie</w:t>
      </w:r>
      <w:r w:rsidRPr="009C4EF3">
        <w:rPr>
          <w:lang w:eastAsia="cs-CZ"/>
        </w:rPr>
        <w:t xml:space="preserve"> a na činnost MAS. Monitoring nespočívá pouze v pořizování statistik (např. sledování plnění monitorovacích indikátorů), ale je doprovázen pozitivními či negativními zjištěními k předmětu monitoringu a také opatřením</w:t>
      </w:r>
      <w:r>
        <w:rPr>
          <w:lang w:eastAsia="cs-CZ"/>
        </w:rPr>
        <w:t>i k nápravě, jsou-li zapotřebí.</w:t>
      </w:r>
    </w:p>
    <w:p w:rsidR="00A92273" w:rsidRPr="009C4EF3" w:rsidRDefault="00A92273" w:rsidP="00A92273">
      <w:r w:rsidRPr="009C4EF3">
        <w:rPr>
          <w:lang w:eastAsia="cs-CZ"/>
        </w:rPr>
        <w:t xml:space="preserve">Podklady pro monitoring se získávají průběžně po celou dobu realizace </w:t>
      </w:r>
      <w:r>
        <w:rPr>
          <w:lang w:eastAsia="cs-CZ"/>
        </w:rPr>
        <w:t>strategie</w:t>
      </w:r>
      <w:r w:rsidRPr="009C4EF3">
        <w:rPr>
          <w:lang w:eastAsia="cs-CZ"/>
        </w:rPr>
        <w:t xml:space="preserve">. Získaná data jsou pravidelně vyhodnocována. MAS ve své činnosti uplatňuje doporučení na změny v postupu realizace </w:t>
      </w:r>
      <w:r>
        <w:rPr>
          <w:lang w:eastAsia="cs-CZ"/>
        </w:rPr>
        <w:t>strategie</w:t>
      </w:r>
      <w:r w:rsidRPr="009C4EF3">
        <w:rPr>
          <w:lang w:eastAsia="cs-CZ"/>
        </w:rPr>
        <w:t xml:space="preserve"> vzešlé z monitoringu.</w:t>
      </w:r>
    </w:p>
    <w:p w:rsidR="00A92273" w:rsidRDefault="00A92273" w:rsidP="00A92273">
      <w:pPr>
        <w:rPr>
          <w:lang w:eastAsia="cs-CZ"/>
        </w:rPr>
      </w:pPr>
      <w:r>
        <w:rPr>
          <w:bCs/>
          <w:lang w:eastAsia="cs-CZ"/>
        </w:rPr>
        <w:lastRenderedPageBreak/>
        <w:t>Monitoring je</w:t>
      </w:r>
      <w:r w:rsidRPr="009C4EF3">
        <w:rPr>
          <w:bCs/>
          <w:lang w:eastAsia="cs-CZ"/>
        </w:rPr>
        <w:t xml:space="preserve"> zaměřen </w:t>
      </w:r>
      <w:r w:rsidRPr="009C4EF3">
        <w:rPr>
          <w:lang w:eastAsia="cs-CZ"/>
        </w:rPr>
        <w:t>na věcné plnění</w:t>
      </w:r>
      <w:r>
        <w:rPr>
          <w:lang w:eastAsia="cs-CZ"/>
        </w:rPr>
        <w:t xml:space="preserve"> strategie, </w:t>
      </w:r>
      <w:r w:rsidRPr="009C4EF3">
        <w:rPr>
          <w:lang w:eastAsia="cs-CZ"/>
        </w:rPr>
        <w:t>na čerpání prostředků (dotace i vlastní podíl žadatele, čerpání financí podle plánu, rozložení finančních prostředků</w:t>
      </w:r>
      <w:r>
        <w:rPr>
          <w:lang w:eastAsia="cs-CZ"/>
        </w:rPr>
        <w:t xml:space="preserve">), </w:t>
      </w:r>
      <w:r w:rsidRPr="009C4EF3">
        <w:rPr>
          <w:lang w:eastAsia="cs-CZ"/>
        </w:rPr>
        <w:t>na shromažďování a vyhodnocování poznatků o způsobech provádění</w:t>
      </w:r>
      <w:r>
        <w:rPr>
          <w:lang w:eastAsia="cs-CZ"/>
        </w:rPr>
        <w:t xml:space="preserve"> strategie.</w:t>
      </w:r>
    </w:p>
    <w:p w:rsidR="00A92273" w:rsidRDefault="00A92273" w:rsidP="00A92273">
      <w:pPr>
        <w:rPr>
          <w:lang w:eastAsia="cs-CZ"/>
        </w:rPr>
      </w:pPr>
    </w:p>
    <w:p w:rsidR="00A92273" w:rsidRDefault="00A92273" w:rsidP="00A92273">
      <w:pPr>
        <w:rPr>
          <w:lang w:eastAsia="cs-CZ"/>
        </w:rPr>
      </w:pPr>
    </w:p>
    <w:p w:rsidR="00A92273" w:rsidRPr="00F55697" w:rsidRDefault="00A92273" w:rsidP="00A92273">
      <w:pPr>
        <w:rPr>
          <w:rFonts w:eastAsia="Arial"/>
          <w:b/>
        </w:rPr>
      </w:pPr>
      <w:r>
        <w:rPr>
          <w:rFonts w:eastAsia="Arial"/>
          <w:b/>
        </w:rPr>
        <w:t>Provádění m</w:t>
      </w:r>
      <w:r w:rsidRPr="00F55697">
        <w:rPr>
          <w:rFonts w:eastAsia="Arial"/>
          <w:b/>
        </w:rPr>
        <w:t>onitoring</w:t>
      </w:r>
      <w:r>
        <w:rPr>
          <w:rFonts w:eastAsia="Arial"/>
          <w:b/>
        </w:rPr>
        <w:t>u</w:t>
      </w:r>
      <w:r w:rsidRPr="00F55697">
        <w:rPr>
          <w:rFonts w:eastAsia="Arial"/>
          <w:b/>
        </w:rPr>
        <w:t xml:space="preserve"> v době realizace projektu</w:t>
      </w:r>
    </w:p>
    <w:p w:rsidR="00A92273" w:rsidRPr="009C4EF3" w:rsidRDefault="00A92273" w:rsidP="00A92273">
      <w:pPr>
        <w:rPr>
          <w:rFonts w:eastAsia="Arial"/>
        </w:rPr>
      </w:pPr>
      <w:r w:rsidRPr="009C4EF3">
        <w:rPr>
          <w:rFonts w:eastAsia="Arial"/>
        </w:rPr>
        <w:t>Každý realizovaný a podpořený projekt je monitorován</w:t>
      </w:r>
      <w:r>
        <w:rPr>
          <w:rFonts w:eastAsia="Arial"/>
        </w:rPr>
        <w:t xml:space="preserve"> pověřeným</w:t>
      </w:r>
      <w:r w:rsidRPr="009C4EF3">
        <w:rPr>
          <w:rFonts w:eastAsia="Arial"/>
        </w:rPr>
        <w:t xml:space="preserve"> pracovníkem MAS. Pracovník MAS zajistí monitoring projektu před realizací, v průběhu realizace</w:t>
      </w:r>
      <w:r>
        <w:rPr>
          <w:rFonts w:eastAsia="Arial"/>
        </w:rPr>
        <w:t xml:space="preserve"> (např. v průběhu realizace stavebních prací)</w:t>
      </w:r>
      <w:r w:rsidRPr="009C4EF3">
        <w:rPr>
          <w:rFonts w:eastAsia="Arial"/>
        </w:rPr>
        <w:t xml:space="preserve"> a po ukončení realizace</w:t>
      </w:r>
      <w:r>
        <w:rPr>
          <w:rFonts w:eastAsia="Arial"/>
        </w:rPr>
        <w:t>, zpravidla po ukončení fyzické realizace projektu před předložením závěrečné žádosti o platbu</w:t>
      </w:r>
      <w:r w:rsidRPr="009C4EF3">
        <w:rPr>
          <w:rFonts w:eastAsia="Arial"/>
        </w:rPr>
        <w:t>. Pracovník MAS provede fyzickou kontrolu na místě realizace projektu, posoudí správnost faktických údajů</w:t>
      </w:r>
      <w:r>
        <w:rPr>
          <w:rFonts w:eastAsia="Arial"/>
        </w:rPr>
        <w:t xml:space="preserve"> a soulad s předloženou žádostí a jejími přílohami</w:t>
      </w:r>
      <w:r w:rsidRPr="009C4EF3">
        <w:rPr>
          <w:rFonts w:eastAsia="Arial"/>
        </w:rPr>
        <w:t xml:space="preserve"> (místo</w:t>
      </w:r>
      <w:r>
        <w:rPr>
          <w:rFonts w:eastAsia="Arial"/>
        </w:rPr>
        <w:t xml:space="preserve"> realizace, rozsah realizace), </w:t>
      </w:r>
      <w:r w:rsidRPr="009C4EF3">
        <w:rPr>
          <w:rFonts w:eastAsia="Arial"/>
        </w:rPr>
        <w:t xml:space="preserve">využije možnosti konzultace s žadatelem a případně podchytí možné nedostatky, které by mohly mít negativní dopad na realizaci projektu a následné proplacení způsobilých výdajů projektu. </w:t>
      </w:r>
    </w:p>
    <w:p w:rsidR="00A92273" w:rsidRDefault="00A92273" w:rsidP="00A92273">
      <w:pPr>
        <w:rPr>
          <w:rFonts w:eastAsia="Arial"/>
        </w:rPr>
      </w:pPr>
      <w:r w:rsidRPr="009C4EF3">
        <w:rPr>
          <w:rFonts w:eastAsia="Arial"/>
        </w:rPr>
        <w:t xml:space="preserve">Monitoring je uskutečněn formou vyplnění monitorovací zprávy a pořízením fotografické dokumentace z místa realizace projektu. Po ukončení realizace projektu a vyplnění monitorovací zprávy je kopie zaslána žadateli včetně fotografických příloh. Fotografické záznamy jsou taktéž použity k prezentaci na webových stránkách MAS a v dalších prezentačních materiálech. </w:t>
      </w:r>
    </w:p>
    <w:p w:rsidR="00A92273" w:rsidRDefault="00A92273" w:rsidP="00A92273">
      <w:pPr>
        <w:rPr>
          <w:rFonts w:eastAsia="Arial"/>
        </w:rPr>
      </w:pPr>
      <w:r w:rsidRPr="009C4EF3">
        <w:rPr>
          <w:rFonts w:eastAsia="Arial"/>
        </w:rPr>
        <w:t>Pro monitoring v době realizace projektu jsou připraveny formuláře, ve kterých</w:t>
      </w:r>
      <w:r>
        <w:rPr>
          <w:rFonts w:eastAsia="Arial"/>
        </w:rPr>
        <w:t xml:space="preserve"> je sledováno naplnění preferenčních </w:t>
      </w:r>
      <w:r w:rsidRPr="009C4EF3">
        <w:rPr>
          <w:rFonts w:eastAsia="Arial"/>
        </w:rPr>
        <w:t>kritérií vztahující</w:t>
      </w:r>
      <w:r>
        <w:rPr>
          <w:rFonts w:eastAsia="Arial"/>
        </w:rPr>
        <w:t>ch</w:t>
      </w:r>
      <w:r w:rsidRPr="009C4EF3">
        <w:rPr>
          <w:rFonts w:eastAsia="Arial"/>
        </w:rPr>
        <w:t xml:space="preserve"> se k dané </w:t>
      </w:r>
      <w:r>
        <w:rPr>
          <w:rFonts w:eastAsia="Arial"/>
        </w:rPr>
        <w:t>podporované oblasti</w:t>
      </w:r>
      <w:r w:rsidRPr="009C4EF3">
        <w:rPr>
          <w:rFonts w:eastAsia="Arial"/>
        </w:rPr>
        <w:t xml:space="preserve">, ve které příjemce dotace žádal. </w:t>
      </w:r>
    </w:p>
    <w:p w:rsidR="00A92273" w:rsidRPr="009C4EF3" w:rsidRDefault="00A92273" w:rsidP="00A92273">
      <w:pPr>
        <w:rPr>
          <w:rFonts w:eastAsia="Arial"/>
        </w:rPr>
      </w:pPr>
      <w:r>
        <w:rPr>
          <w:rFonts w:eastAsia="Arial"/>
        </w:rPr>
        <w:t>Monitoring v době realizace projektu je prováděn u všech realizovaných projektů, je dopředu oznamován a probíhá v plné součinnosti s příjemcem dotace.</w:t>
      </w:r>
    </w:p>
    <w:p w:rsidR="00A92273" w:rsidRPr="009C4EF3" w:rsidRDefault="00A92273" w:rsidP="00A92273">
      <w:pPr>
        <w:rPr>
          <w:rFonts w:eastAsia="Arial"/>
        </w:rPr>
      </w:pPr>
    </w:p>
    <w:p w:rsidR="00A92273" w:rsidRPr="00352367" w:rsidRDefault="00A92273" w:rsidP="00A92273">
      <w:pPr>
        <w:rPr>
          <w:rFonts w:eastAsia="Arial"/>
          <w:b/>
        </w:rPr>
      </w:pPr>
      <w:r w:rsidRPr="00352367">
        <w:rPr>
          <w:rFonts w:eastAsia="Arial"/>
          <w:b/>
        </w:rPr>
        <w:t>Monitoring v době udržitelnosti projektu</w:t>
      </w:r>
    </w:p>
    <w:p w:rsidR="00A92273" w:rsidRPr="009C4EF3" w:rsidRDefault="00A92273" w:rsidP="00A92273">
      <w:pPr>
        <w:rPr>
          <w:rFonts w:eastAsia="Arial"/>
        </w:rPr>
      </w:pPr>
      <w:r>
        <w:rPr>
          <w:rFonts w:eastAsia="Arial"/>
        </w:rPr>
        <w:t xml:space="preserve">MAS je sledována také udržitelnost projektu. </w:t>
      </w:r>
      <w:r w:rsidRPr="009C4EF3">
        <w:rPr>
          <w:rFonts w:eastAsia="Arial"/>
        </w:rPr>
        <w:t xml:space="preserve">Doba </w:t>
      </w:r>
      <w:r>
        <w:rPr>
          <w:rFonts w:eastAsia="Arial"/>
        </w:rPr>
        <w:t>udržitelnosti projektu je</w:t>
      </w:r>
      <w:r w:rsidRPr="009C4EF3">
        <w:rPr>
          <w:rFonts w:eastAsia="Arial"/>
        </w:rPr>
        <w:t xml:space="preserve"> 5 let od</w:t>
      </w:r>
      <w:r>
        <w:rPr>
          <w:rFonts w:eastAsia="Arial"/>
        </w:rPr>
        <w:t xml:space="preserve"> ukončení</w:t>
      </w:r>
      <w:r w:rsidRPr="009C4EF3">
        <w:rPr>
          <w:rFonts w:eastAsia="Arial"/>
        </w:rPr>
        <w:t xml:space="preserve"> realizace projektu.</w:t>
      </w:r>
      <w:r>
        <w:rPr>
          <w:rFonts w:eastAsia="Arial"/>
        </w:rPr>
        <w:t xml:space="preserve"> </w:t>
      </w:r>
      <w:r w:rsidRPr="009C4EF3">
        <w:rPr>
          <w:rFonts w:eastAsia="Arial"/>
        </w:rPr>
        <w:t>Př</w:t>
      </w:r>
      <w:r>
        <w:rPr>
          <w:rFonts w:eastAsia="Arial"/>
        </w:rPr>
        <w:t xml:space="preserve">íjemce dotace je povinen vždy do dvou měsíců po ukončení každého </w:t>
      </w:r>
      <w:r>
        <w:rPr>
          <w:rFonts w:eastAsia="Arial"/>
        </w:rPr>
        <w:lastRenderedPageBreak/>
        <w:t>roku udržitelnosti zpracovat monitorovací zprávu o udržitelnosti projektu na formulář vytvořený MAS. Formulář</w:t>
      </w:r>
      <w:r w:rsidRPr="009C4EF3">
        <w:rPr>
          <w:rFonts w:eastAsia="Arial"/>
        </w:rPr>
        <w:t xml:space="preserve"> zašle </w:t>
      </w:r>
      <w:r>
        <w:rPr>
          <w:rFonts w:eastAsia="Arial"/>
        </w:rPr>
        <w:t>příjemci dotace pracovník MAS do konce roku udržitelnosti, pro který je zpracováván. P</w:t>
      </w:r>
      <w:r w:rsidRPr="009C4EF3">
        <w:rPr>
          <w:rFonts w:eastAsia="Arial"/>
        </w:rPr>
        <w:t>říjemce dotace formulář vyplní, potvrdí a zašle zpět na kancelář MAS.</w:t>
      </w:r>
      <w:r>
        <w:rPr>
          <w:rFonts w:eastAsia="Arial"/>
        </w:rPr>
        <w:t xml:space="preserve"> </w:t>
      </w:r>
      <w:r w:rsidRPr="009C4EF3">
        <w:rPr>
          <w:rFonts w:eastAsia="Arial"/>
        </w:rPr>
        <w:t xml:space="preserve">Příjemce dotace se zavazuje vykázat naplnění preferenčních kritérií, ke kterým se zavázal při podání žádostí o dotaci a tvrzení prokáže fotodokumentací a doložením dalších příloh. </w:t>
      </w:r>
      <w:r>
        <w:rPr>
          <w:rFonts w:eastAsia="Arial"/>
        </w:rPr>
        <w:t>Hlavní součástí monitorovací zprávy je kontrola naplňován preferenčních kritérií, které jsou naplňována v době udržitelnosti projektu. Další součástí montovací zprávy v době udržitelnosti jsou dále dotazy, které slouží pro evaluaci činnosti MAS a vyjádření názorů na činnost MAS a je zde také</w:t>
      </w:r>
      <w:r w:rsidRPr="009C4EF3">
        <w:rPr>
          <w:rFonts w:eastAsia="Arial"/>
        </w:rPr>
        <w:t xml:space="preserve"> prostor pro případné změny u příjemce dotace. </w:t>
      </w:r>
    </w:p>
    <w:p w:rsidR="00A92273" w:rsidRPr="00EF1E7F" w:rsidRDefault="00A92273" w:rsidP="00A92273">
      <w:pPr>
        <w:rPr>
          <w:rFonts w:eastAsia="Arial"/>
        </w:rPr>
      </w:pPr>
      <w:r>
        <w:rPr>
          <w:rFonts w:eastAsia="Arial"/>
        </w:rPr>
        <w:t>Monitorovací zpráva v době udržitelnosti projektu dokládá naplnění preferenčních kritérií, ke kterým se příjemce zavázal už při předložení žádosti o dotaci, při jejich nedodržení je možné udělovat sankce</w:t>
      </w:r>
      <w:r w:rsidRPr="009C4EF3">
        <w:rPr>
          <w:rFonts w:eastAsia="Arial"/>
        </w:rPr>
        <w:t>.</w:t>
      </w:r>
    </w:p>
    <w:p w:rsidR="00A92273" w:rsidRDefault="00A92273" w:rsidP="00A92273">
      <w:pPr>
        <w:rPr>
          <w:rFonts w:eastAsia="Arial"/>
        </w:rPr>
      </w:pPr>
    </w:p>
    <w:p w:rsidR="00A92273" w:rsidRPr="009C4EF3" w:rsidRDefault="00A92273" w:rsidP="00A92273">
      <w:pPr>
        <w:rPr>
          <w:rFonts w:eastAsia="Arial"/>
        </w:rPr>
      </w:pPr>
    </w:p>
    <w:p w:rsidR="00A92273" w:rsidRPr="00352367" w:rsidRDefault="00A92273" w:rsidP="00A92273">
      <w:pPr>
        <w:rPr>
          <w:rFonts w:eastAsia="Arial"/>
          <w:b/>
        </w:rPr>
      </w:pPr>
      <w:r w:rsidRPr="00352367">
        <w:rPr>
          <w:rFonts w:eastAsia="Arial"/>
          <w:b/>
        </w:rPr>
        <w:t>Monitorovací zprávy</w:t>
      </w:r>
    </w:p>
    <w:p w:rsidR="00A92273" w:rsidRDefault="00A92273" w:rsidP="00A92273">
      <w:pPr>
        <w:rPr>
          <w:rFonts w:eastAsia="Arial"/>
        </w:rPr>
      </w:pPr>
      <w:r w:rsidRPr="009C4EF3">
        <w:rPr>
          <w:rFonts w:eastAsia="Arial"/>
        </w:rPr>
        <w:t xml:space="preserve">Monitorovací zprávy (formuláře k vyplnění) </w:t>
      </w:r>
      <w:r>
        <w:rPr>
          <w:rFonts w:eastAsia="Arial"/>
        </w:rPr>
        <w:t>obsahují</w:t>
      </w:r>
      <w:r w:rsidRPr="009C4EF3">
        <w:rPr>
          <w:rFonts w:eastAsia="Arial"/>
        </w:rPr>
        <w:t xml:space="preserve"> ko</w:t>
      </w:r>
      <w:r>
        <w:rPr>
          <w:rFonts w:eastAsia="Arial"/>
        </w:rPr>
        <w:t>lonky pro popis uskutečněných a </w:t>
      </w:r>
      <w:r w:rsidRPr="009C4EF3">
        <w:rPr>
          <w:rFonts w:eastAsia="Arial"/>
        </w:rPr>
        <w:t xml:space="preserve">plánovaných aktivit, čerpání rozpočtu, uvedení nepodstatných změn v projektu a dále naplňování předepsaných monitorovacích indikátorů. Příjemci podpory </w:t>
      </w:r>
      <w:r>
        <w:rPr>
          <w:rFonts w:eastAsia="Arial"/>
        </w:rPr>
        <w:t>předkládají</w:t>
      </w:r>
      <w:r w:rsidRPr="009C4EF3">
        <w:rPr>
          <w:rFonts w:eastAsia="Arial"/>
        </w:rPr>
        <w:t xml:space="preserve"> dva typy monito</w:t>
      </w:r>
      <w:r>
        <w:rPr>
          <w:rFonts w:eastAsia="Arial"/>
        </w:rPr>
        <w:t>rovacích zpráv, které mají stejný formát, liší se pouze</w:t>
      </w:r>
      <w:r w:rsidRPr="009C4EF3">
        <w:rPr>
          <w:rFonts w:eastAsia="Arial"/>
        </w:rPr>
        <w:t xml:space="preserve"> v rozsahu požadovaných informací:</w:t>
      </w:r>
    </w:p>
    <w:p w:rsidR="00A92273" w:rsidRPr="00213D8B" w:rsidRDefault="00A92273" w:rsidP="00A60AC9">
      <w:pPr>
        <w:pStyle w:val="Odstavecseseznamem"/>
        <w:numPr>
          <w:ilvl w:val="0"/>
          <w:numId w:val="75"/>
        </w:numPr>
        <w:spacing w:after="0" w:line="276" w:lineRule="auto"/>
        <w:rPr>
          <w:rFonts w:eastAsia="Arial"/>
        </w:rPr>
      </w:pPr>
      <w:r w:rsidRPr="00213D8B">
        <w:rPr>
          <w:rFonts w:eastAsia="Arial"/>
        </w:rPr>
        <w:t>monitoring v době realizace projektu</w:t>
      </w:r>
    </w:p>
    <w:p w:rsidR="00A92273" w:rsidRDefault="00A92273" w:rsidP="00A60AC9">
      <w:pPr>
        <w:pStyle w:val="Odstavecseseznamem"/>
        <w:numPr>
          <w:ilvl w:val="0"/>
          <w:numId w:val="75"/>
        </w:numPr>
        <w:spacing w:after="0" w:line="276" w:lineRule="auto"/>
        <w:rPr>
          <w:rFonts w:eastAsia="Arial"/>
        </w:rPr>
      </w:pPr>
      <w:r w:rsidRPr="00213D8B">
        <w:rPr>
          <w:rFonts w:eastAsia="Arial"/>
        </w:rPr>
        <w:t>monitoring v době udržitelnosti projektu</w:t>
      </w:r>
    </w:p>
    <w:p w:rsidR="00A92273" w:rsidRPr="00213D8B" w:rsidRDefault="00A92273" w:rsidP="00A92273">
      <w:pPr>
        <w:rPr>
          <w:rFonts w:eastAsia="Arial"/>
        </w:rPr>
      </w:pPr>
    </w:p>
    <w:p w:rsidR="00A92273" w:rsidRPr="009C4EF3" w:rsidRDefault="00A92273" w:rsidP="00A92273">
      <w:pPr>
        <w:rPr>
          <w:rFonts w:eastAsia="Arial"/>
        </w:rPr>
      </w:pPr>
      <w:r>
        <w:rPr>
          <w:rFonts w:eastAsia="Arial"/>
        </w:rPr>
        <w:t xml:space="preserve">Příjemci </w:t>
      </w:r>
      <w:r w:rsidRPr="009C4EF3">
        <w:rPr>
          <w:rFonts w:eastAsia="Arial"/>
        </w:rPr>
        <w:t>jsou</w:t>
      </w:r>
      <w:r>
        <w:rPr>
          <w:rFonts w:eastAsia="Arial"/>
        </w:rPr>
        <w:t xml:space="preserve"> v monitorovacích zprávách v době realizace projektu povinni </w:t>
      </w:r>
      <w:r w:rsidRPr="009C4EF3">
        <w:rPr>
          <w:rFonts w:eastAsia="Arial"/>
        </w:rPr>
        <w:t>informovat o</w:t>
      </w:r>
      <w:r>
        <w:rPr>
          <w:rFonts w:eastAsia="Arial"/>
        </w:rPr>
        <w:t xml:space="preserve"> realizace celého projektu </w:t>
      </w:r>
      <w:r w:rsidRPr="009C4EF3">
        <w:rPr>
          <w:rFonts w:eastAsia="Arial"/>
        </w:rPr>
        <w:t>(tj. vč. těch částí projektu, za které jsou odpo</w:t>
      </w:r>
      <w:r>
        <w:rPr>
          <w:rFonts w:eastAsia="Arial"/>
        </w:rPr>
        <w:t>vědní případní partneři, resp. d</w:t>
      </w:r>
      <w:r w:rsidRPr="009C4EF3">
        <w:rPr>
          <w:rFonts w:eastAsia="Arial"/>
        </w:rPr>
        <w:t xml:space="preserve">odavatelé). </w:t>
      </w:r>
      <w:r>
        <w:rPr>
          <w:rFonts w:eastAsia="Arial"/>
        </w:rPr>
        <w:t>Za tímto účelem jsou</w:t>
      </w:r>
      <w:r w:rsidRPr="009C4EF3">
        <w:rPr>
          <w:rFonts w:eastAsia="Arial"/>
        </w:rPr>
        <w:t xml:space="preserve"> příjemci podpory povinni zajistit sběr požadovaných údajů a informací od svých partnerů i od dodavatelů služeb, které mají bezprostřední vliv </w:t>
      </w:r>
      <w:r>
        <w:rPr>
          <w:rFonts w:eastAsia="Arial"/>
        </w:rPr>
        <w:t>realizaci projektu</w:t>
      </w:r>
      <w:r w:rsidRPr="009C4EF3">
        <w:rPr>
          <w:rFonts w:eastAsia="Arial"/>
        </w:rPr>
        <w:t>. So</w:t>
      </w:r>
      <w:r>
        <w:rPr>
          <w:rFonts w:eastAsia="Arial"/>
        </w:rPr>
        <w:t>učástí monitorovací zprávy jsou</w:t>
      </w:r>
      <w:r w:rsidRPr="009C4EF3">
        <w:rPr>
          <w:rFonts w:eastAsia="Arial"/>
        </w:rPr>
        <w:t xml:space="preserve"> také výsledky kontroly na míst</w:t>
      </w:r>
      <w:r>
        <w:rPr>
          <w:rFonts w:eastAsia="Arial"/>
        </w:rPr>
        <w:t>ě</w:t>
      </w:r>
      <w:r w:rsidRPr="009C4EF3">
        <w:rPr>
          <w:rFonts w:eastAsia="Arial"/>
        </w:rPr>
        <w:t>.</w:t>
      </w:r>
    </w:p>
    <w:p w:rsidR="00A92273" w:rsidRDefault="00A92273" w:rsidP="00A92273">
      <w:pPr>
        <w:rPr>
          <w:rFonts w:eastAsia="Arial"/>
        </w:rPr>
      </w:pPr>
      <w:r w:rsidRPr="009C4EF3">
        <w:rPr>
          <w:rFonts w:eastAsia="Arial"/>
        </w:rPr>
        <w:lastRenderedPageBreak/>
        <w:t xml:space="preserve">Monitorovací </w:t>
      </w:r>
      <w:r>
        <w:rPr>
          <w:rFonts w:eastAsia="Arial"/>
        </w:rPr>
        <w:t>zprávy</w:t>
      </w:r>
      <w:r w:rsidRPr="009C4EF3">
        <w:rPr>
          <w:rFonts w:eastAsia="Arial"/>
        </w:rPr>
        <w:t xml:space="preserve"> v době udržitelnosti projektu zhodnotí ú</w:t>
      </w:r>
      <w:r>
        <w:rPr>
          <w:rFonts w:eastAsia="Arial"/>
        </w:rPr>
        <w:t xml:space="preserve">spěšnost celého projektu a budou </w:t>
      </w:r>
      <w:r w:rsidRPr="009C4EF3">
        <w:rPr>
          <w:rFonts w:eastAsia="Arial"/>
        </w:rPr>
        <w:t xml:space="preserve">informovat o výsledcích a splněných aktivitách realizovaných v rámci projektu. Monitoring v době udržitelnosti sleduje především výsledek zrealizovaného projektu, </w:t>
      </w:r>
      <w:r>
        <w:rPr>
          <w:rFonts w:eastAsia="Arial"/>
        </w:rPr>
        <w:t xml:space="preserve">je realizovaný projekt a jeho výstupy v souladu se schválenou žádostí a smlouvou </w:t>
      </w:r>
      <w:r w:rsidRPr="009C4EF3">
        <w:rPr>
          <w:rFonts w:eastAsia="Arial"/>
        </w:rPr>
        <w:t>a zda nedošlo k</w:t>
      </w:r>
      <w:r>
        <w:rPr>
          <w:rFonts w:eastAsia="Arial"/>
        </w:rPr>
        <w:t> </w:t>
      </w:r>
      <w:r w:rsidRPr="009C4EF3">
        <w:rPr>
          <w:rFonts w:eastAsia="Arial"/>
        </w:rPr>
        <w:t>nějakým</w:t>
      </w:r>
      <w:r>
        <w:rPr>
          <w:rFonts w:eastAsia="Arial"/>
        </w:rPr>
        <w:t xml:space="preserve"> významným</w:t>
      </w:r>
      <w:r w:rsidRPr="009C4EF3">
        <w:rPr>
          <w:rFonts w:eastAsia="Arial"/>
        </w:rPr>
        <w:t xml:space="preserve"> změnám. Dále bude příjemce dotace prokazovat naplňování preferenčních kritérií, ke kterým </w:t>
      </w:r>
      <w:r>
        <w:rPr>
          <w:rFonts w:eastAsia="Arial"/>
        </w:rPr>
        <w:t xml:space="preserve">se zavázal v žádosti o dotaci. </w:t>
      </w:r>
      <w:r w:rsidRPr="009C4EF3">
        <w:rPr>
          <w:rFonts w:eastAsia="Arial"/>
        </w:rPr>
        <w:t>Prokazování naplnění preferenčních kritérií je možné různou f</w:t>
      </w:r>
      <w:r>
        <w:rPr>
          <w:rFonts w:eastAsia="Arial"/>
        </w:rPr>
        <w:t>ormou – dokladování fotografií, pozvánek</w:t>
      </w:r>
      <w:r w:rsidRPr="009C4EF3">
        <w:rPr>
          <w:rFonts w:eastAsia="Arial"/>
        </w:rPr>
        <w:t>, informační</w:t>
      </w:r>
      <w:r>
        <w:rPr>
          <w:rFonts w:eastAsia="Arial"/>
        </w:rPr>
        <w:t>ch plakátů</w:t>
      </w:r>
      <w:r w:rsidRPr="009C4EF3">
        <w:rPr>
          <w:rFonts w:eastAsia="Arial"/>
        </w:rPr>
        <w:t xml:space="preserve"> apod. </w:t>
      </w:r>
    </w:p>
    <w:p w:rsidR="00A92273" w:rsidRPr="009C4EF3" w:rsidRDefault="00A92273" w:rsidP="00A92273">
      <w:pPr>
        <w:rPr>
          <w:rFonts w:eastAsia="Arial"/>
        </w:rPr>
      </w:pPr>
      <w:r w:rsidRPr="009C4EF3">
        <w:rPr>
          <w:rFonts w:eastAsia="Arial"/>
        </w:rPr>
        <w:t>Případné dotazy či problémy s vypra</w:t>
      </w:r>
      <w:r>
        <w:rPr>
          <w:rFonts w:eastAsia="Arial"/>
        </w:rPr>
        <w:t>cováním monitorovacích zpráv je</w:t>
      </w:r>
      <w:r w:rsidRPr="009C4EF3">
        <w:rPr>
          <w:rFonts w:eastAsia="Arial"/>
        </w:rPr>
        <w:t xml:space="preserve"> možné konzultovat se Sekretariátem MAS, který poskytne informace ke správnému vyplnění</w:t>
      </w:r>
      <w:r>
        <w:rPr>
          <w:rFonts w:eastAsia="Arial"/>
        </w:rPr>
        <w:t xml:space="preserve"> monitorovacích zpráv</w:t>
      </w:r>
      <w:r w:rsidRPr="009C4EF3">
        <w:rPr>
          <w:rFonts w:eastAsia="Arial"/>
        </w:rPr>
        <w:t>.</w:t>
      </w:r>
    </w:p>
    <w:p w:rsidR="00A92273" w:rsidRPr="009C4EF3" w:rsidRDefault="00A92273" w:rsidP="00A92273">
      <w:pPr>
        <w:rPr>
          <w:rFonts w:eastAsia="Arial"/>
        </w:rPr>
      </w:pPr>
    </w:p>
    <w:p w:rsidR="00A92273" w:rsidRPr="00352367" w:rsidRDefault="00A92273" w:rsidP="00A92273">
      <w:pPr>
        <w:rPr>
          <w:rFonts w:eastAsia="Arial"/>
          <w:b/>
        </w:rPr>
      </w:pPr>
      <w:r w:rsidRPr="00352367">
        <w:rPr>
          <w:rFonts w:eastAsia="Arial"/>
          <w:b/>
        </w:rPr>
        <w:t>Sankce</w:t>
      </w:r>
    </w:p>
    <w:p w:rsidR="00A92273" w:rsidRPr="009C4EF3" w:rsidRDefault="00A92273" w:rsidP="00A92273">
      <w:pPr>
        <w:rPr>
          <w:rFonts w:eastAsia="Arial"/>
        </w:rPr>
      </w:pPr>
      <w:r>
        <w:rPr>
          <w:rFonts w:eastAsia="Arial"/>
        </w:rPr>
        <w:t>V případě, že MAS zjistí nedodržení smlouvy o dotaci nebo nedostatky</w:t>
      </w:r>
      <w:r w:rsidRPr="009C4EF3">
        <w:rPr>
          <w:rFonts w:eastAsia="Arial"/>
        </w:rPr>
        <w:t xml:space="preserve"> v naplňování podmínek, ke kterým se příjemce dotace zavázal při podání žádosti o dotaci, vyzve příje</w:t>
      </w:r>
      <w:r>
        <w:rPr>
          <w:rFonts w:eastAsia="Arial"/>
        </w:rPr>
        <w:t>mce k nápravě v termínu 1 měsíc</w:t>
      </w:r>
      <w:r w:rsidRPr="009C4EF3">
        <w:rPr>
          <w:rFonts w:eastAsia="Arial"/>
        </w:rPr>
        <w:t xml:space="preserve"> od doručení písemného upozornění o nedodržení podmínek. Pokud do tohoto termínu nebude sjednaná náprava, MAS předá tuto informaci </w:t>
      </w:r>
      <w:r>
        <w:rPr>
          <w:rFonts w:eastAsia="Arial"/>
        </w:rPr>
        <w:t xml:space="preserve">na </w:t>
      </w:r>
      <w:r>
        <w:rPr>
          <w:lang w:eastAsia="cs-CZ"/>
        </w:rPr>
        <w:t>příslušný orgán odpovědný za daný OP</w:t>
      </w:r>
      <w:r w:rsidRPr="009C4EF3">
        <w:rPr>
          <w:rFonts w:eastAsia="Arial"/>
        </w:rPr>
        <w:t xml:space="preserve"> a ten </w:t>
      </w:r>
      <w:r>
        <w:rPr>
          <w:rFonts w:eastAsia="Arial"/>
        </w:rPr>
        <w:t>sjedná případnou nápravu, udělí sankci nebo provede korekci.</w:t>
      </w:r>
    </w:p>
    <w:p w:rsidR="00A92273" w:rsidRDefault="00A92273" w:rsidP="00A92273">
      <w:pPr>
        <w:rPr>
          <w:rFonts w:eastAsia="Arial"/>
        </w:rPr>
      </w:pPr>
    </w:p>
    <w:p w:rsidR="00A92273" w:rsidRPr="009C4EF3" w:rsidRDefault="00A92273" w:rsidP="00A92273">
      <w:pPr>
        <w:rPr>
          <w:rFonts w:eastAsia="Arial"/>
        </w:rPr>
      </w:pPr>
    </w:p>
    <w:p w:rsidR="00A92273" w:rsidRPr="00352367" w:rsidRDefault="00A92273" w:rsidP="00A92273">
      <w:pPr>
        <w:rPr>
          <w:rFonts w:eastAsia="TimesNewRomanPSMT"/>
          <w:b/>
        </w:rPr>
      </w:pPr>
      <w:r w:rsidRPr="00352367">
        <w:rPr>
          <w:rFonts w:eastAsia="TimesNewRomanPSMT"/>
          <w:b/>
        </w:rPr>
        <w:t>Způsoby ověřování monitorovacích kriterií</w:t>
      </w:r>
    </w:p>
    <w:p w:rsidR="00A92273" w:rsidRPr="009C4EF3" w:rsidRDefault="00A92273" w:rsidP="00A92273">
      <w:pPr>
        <w:rPr>
          <w:rFonts w:eastAsia="TimesNewRomanPSMT"/>
        </w:rPr>
      </w:pPr>
    </w:p>
    <w:p w:rsidR="00A92273" w:rsidRPr="009C4EF3" w:rsidRDefault="00A92273" w:rsidP="00A92273">
      <w:pPr>
        <w:rPr>
          <w:rFonts w:eastAsia="TimesNewRomanPSMT"/>
        </w:rPr>
      </w:pPr>
      <w:r w:rsidRPr="009C4EF3">
        <w:rPr>
          <w:rFonts w:eastAsia="TimesNewRomanPSMT"/>
        </w:rPr>
        <w:t xml:space="preserve">MAS </w:t>
      </w:r>
      <w:r>
        <w:rPr>
          <w:rFonts w:eastAsia="TimesNewRomanPSMT"/>
        </w:rPr>
        <w:t>eviduje</w:t>
      </w:r>
      <w:r w:rsidRPr="009C4EF3">
        <w:rPr>
          <w:rFonts w:eastAsia="TimesNewRomanPSMT"/>
        </w:rPr>
        <w:t xml:space="preserve"> povinné monitorovací indikátory za jednotlivé žádosti, zároveň </w:t>
      </w:r>
      <w:r>
        <w:rPr>
          <w:rFonts w:eastAsia="TimesNewRomanPSMT"/>
        </w:rPr>
        <w:t>eviduje</w:t>
      </w:r>
      <w:r w:rsidRPr="009C4EF3">
        <w:rPr>
          <w:rFonts w:eastAsia="TimesNewRomanPSMT"/>
        </w:rPr>
        <w:t xml:space="preserve"> povinné monitorovací indikátory, výstupy monitorovacích indikátorů plnění realizace </w:t>
      </w:r>
      <w:r>
        <w:rPr>
          <w:rFonts w:eastAsia="TimesNewRomanPSMT"/>
        </w:rPr>
        <w:t>stretegie</w:t>
      </w:r>
      <w:r w:rsidRPr="009C4EF3">
        <w:rPr>
          <w:rFonts w:eastAsia="TimesNewRomanPSMT"/>
        </w:rPr>
        <w:t xml:space="preserve"> </w:t>
      </w:r>
      <w:r>
        <w:rPr>
          <w:rFonts w:eastAsia="TimesNewRomanPSMT"/>
        </w:rPr>
        <w:t>předkládá MAS</w:t>
      </w:r>
      <w:r w:rsidRPr="009C4EF3">
        <w:rPr>
          <w:rFonts w:eastAsia="TimesNewRomanPSMT"/>
        </w:rPr>
        <w:t xml:space="preserve"> spolu se žádostí o proplacení.</w:t>
      </w:r>
    </w:p>
    <w:p w:rsidR="00A92273" w:rsidRDefault="00A92273" w:rsidP="00A92273">
      <w:pPr>
        <w:rPr>
          <w:rFonts w:eastAsia="TimesNewRomanPSMT"/>
        </w:rPr>
      </w:pPr>
    </w:p>
    <w:p w:rsidR="00A92273" w:rsidRPr="009C4EF3" w:rsidRDefault="00A92273" w:rsidP="00A92273">
      <w:pPr>
        <w:rPr>
          <w:rFonts w:eastAsia="TimesNewRomanPSMT"/>
        </w:rPr>
      </w:pPr>
    </w:p>
    <w:p w:rsidR="00A92273" w:rsidRPr="00352367" w:rsidRDefault="00A92273" w:rsidP="00A92273">
      <w:pPr>
        <w:rPr>
          <w:rFonts w:eastAsia="SymbolMT"/>
          <w:b/>
        </w:rPr>
      </w:pPr>
      <w:r w:rsidRPr="00352367">
        <w:rPr>
          <w:rFonts w:eastAsia="SymbolMT"/>
          <w:b/>
        </w:rPr>
        <w:lastRenderedPageBreak/>
        <w:t>Vyhodnocení monitoringu</w:t>
      </w:r>
    </w:p>
    <w:p w:rsidR="00A92273" w:rsidRPr="009C4EF3" w:rsidRDefault="00A92273" w:rsidP="00A92273">
      <w:pPr>
        <w:rPr>
          <w:rFonts w:eastAsia="SymbolMT"/>
        </w:rPr>
      </w:pPr>
    </w:p>
    <w:p w:rsidR="00A92273" w:rsidRPr="00932A7E" w:rsidRDefault="00A92273" w:rsidP="00A92273">
      <w:pPr>
        <w:rPr>
          <w:rFonts w:eastAsia="SymbolMT"/>
        </w:rPr>
      </w:pPr>
      <w:r>
        <w:rPr>
          <w:rFonts w:eastAsia="SymbolMT"/>
        </w:rPr>
        <w:t>Vyhodnocení monitoringu</w:t>
      </w:r>
      <w:r w:rsidRPr="00932A7E">
        <w:rPr>
          <w:rFonts w:eastAsia="SymbolMT"/>
        </w:rPr>
        <w:t xml:space="preserve"> – analýza</w:t>
      </w:r>
    </w:p>
    <w:p w:rsidR="00A92273" w:rsidRDefault="00A92273" w:rsidP="00A92273">
      <w:pPr>
        <w:rPr>
          <w:rFonts w:eastAsia="SymbolMT"/>
        </w:rPr>
      </w:pPr>
      <w:r>
        <w:rPr>
          <w:rFonts w:eastAsia="SymbolMT"/>
        </w:rPr>
        <w:t>Ze získaných podkladů z monitoringu</w:t>
      </w:r>
      <w:r w:rsidRPr="009C4EF3">
        <w:rPr>
          <w:rFonts w:eastAsia="SymbolMT"/>
        </w:rPr>
        <w:t xml:space="preserve"> vychází statistické vyhodnocení projektů. </w:t>
      </w:r>
      <w:r>
        <w:rPr>
          <w:rFonts w:eastAsia="SymbolMT"/>
        </w:rPr>
        <w:t xml:space="preserve">U jednotlivých projektů je sledován soulad realizace projektu, jeho výstupů a výsledků s předloženou žádostí o dotaci a jejími přílohami. </w:t>
      </w:r>
      <w:r w:rsidRPr="009C4EF3">
        <w:rPr>
          <w:rFonts w:eastAsia="SymbolMT"/>
        </w:rPr>
        <w:t>Především</w:t>
      </w:r>
      <w:r>
        <w:rPr>
          <w:rFonts w:eastAsia="SymbolMT"/>
        </w:rPr>
        <w:t xml:space="preserve"> jsou sledovány počty hlášení o </w:t>
      </w:r>
      <w:r w:rsidRPr="009C4EF3">
        <w:rPr>
          <w:rFonts w:eastAsia="SymbolMT"/>
        </w:rPr>
        <w:t xml:space="preserve">změnách, dodržování termínu podání žádostí o proplacení a změny v technickém řešení projektu. Tyto výstupy </w:t>
      </w:r>
      <w:r>
        <w:rPr>
          <w:rFonts w:eastAsia="SymbolMT"/>
        </w:rPr>
        <w:t>slouží</w:t>
      </w:r>
      <w:r w:rsidRPr="009C4EF3">
        <w:rPr>
          <w:rFonts w:eastAsia="SymbolMT"/>
        </w:rPr>
        <w:t xml:space="preserve"> pro další poradenství při podání dalších žádostí o dotaci. </w:t>
      </w:r>
    </w:p>
    <w:p w:rsidR="00A92273" w:rsidRDefault="00A92273" w:rsidP="00A92273">
      <w:pPr>
        <w:rPr>
          <w:rFonts w:eastAsia="SymbolMT"/>
        </w:rPr>
      </w:pPr>
    </w:p>
    <w:p w:rsidR="00A92273" w:rsidRPr="009C4EF3" w:rsidRDefault="00A92273" w:rsidP="00A92273">
      <w:pPr>
        <w:rPr>
          <w:rFonts w:eastAsia="SymbolMT"/>
        </w:rPr>
      </w:pPr>
      <w:r>
        <w:rPr>
          <w:rFonts w:eastAsia="SymbolMT"/>
        </w:rPr>
        <w:t>Sledovány jsou tyto ukazatele:</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vytvořených pracovních míst</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obnovených hospodářských budov, ploch</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obnovených budov, prostor, ploch v obcích</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podpořených společenských, kulturních, sportovních akcí</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školení, vzdělávacích akcí</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propagační materiály</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zlepšení veřejných prostranství, infrastruktury</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obnova přírodních lokalit, stezek</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počet nových podnikatelských subjektů</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Monitorovací indikátory nastavené MAS:</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finanční naplnění</w:t>
      </w:r>
      <w:r>
        <w:rPr>
          <w:rFonts w:eastAsia="SymbolMT"/>
        </w:rPr>
        <w:t xml:space="preserve"> </w:t>
      </w:r>
      <w:r w:rsidRPr="00352367">
        <w:rPr>
          <w:rFonts w:eastAsia="SymbolMT"/>
        </w:rPr>
        <w:t>- např. změny v cenách materiálů vzhledem od podání žádostí o dotaci do realizace projektu</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časové naplnění – dostatečný časový prostor pro realizaci projektu</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administrativní zatížení</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propagace projektu</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reakce okolí a veřejnosti na projekt</w:t>
      </w:r>
    </w:p>
    <w:p w:rsidR="00A92273" w:rsidRPr="00352367" w:rsidRDefault="00A92273" w:rsidP="00A60AC9">
      <w:pPr>
        <w:pStyle w:val="Odstavecseseznamem"/>
        <w:numPr>
          <w:ilvl w:val="0"/>
          <w:numId w:val="68"/>
        </w:numPr>
        <w:spacing w:after="0" w:line="276" w:lineRule="auto"/>
        <w:rPr>
          <w:rFonts w:eastAsia="SymbolMT"/>
        </w:rPr>
      </w:pPr>
      <w:r w:rsidRPr="00352367">
        <w:rPr>
          <w:rFonts w:eastAsia="SymbolMT"/>
        </w:rPr>
        <w:t>počty změn v projektu</w:t>
      </w:r>
    </w:p>
    <w:p w:rsidR="00A92273" w:rsidRPr="009C4EF3" w:rsidRDefault="00A92273" w:rsidP="00A92273">
      <w:pPr>
        <w:rPr>
          <w:rFonts w:eastAsia="SymbolMT"/>
        </w:rPr>
      </w:pPr>
    </w:p>
    <w:p w:rsidR="00A92273" w:rsidRPr="00D71529" w:rsidRDefault="00A92273" w:rsidP="00A92273">
      <w:pPr>
        <w:rPr>
          <w:rFonts w:eastAsia="SymbolMT"/>
        </w:rPr>
      </w:pPr>
      <w:r>
        <w:rPr>
          <w:rFonts w:eastAsia="SymbolMT"/>
        </w:rPr>
        <w:lastRenderedPageBreak/>
        <w:t xml:space="preserve">Vyhodnocení monitoringu </w:t>
      </w:r>
      <w:r w:rsidRPr="00D71529">
        <w:rPr>
          <w:rFonts w:eastAsia="SymbolMT"/>
        </w:rPr>
        <w:t>– analýza</w:t>
      </w:r>
    </w:p>
    <w:p w:rsidR="00A92273" w:rsidRPr="009C4EF3" w:rsidRDefault="00A92273" w:rsidP="00A92273">
      <w:pPr>
        <w:rPr>
          <w:rFonts w:eastAsia="SymbolMT"/>
        </w:rPr>
      </w:pPr>
      <w:r>
        <w:rPr>
          <w:rFonts w:eastAsia="SymbolMT"/>
        </w:rPr>
        <w:t>Tento monitoring slouží</w:t>
      </w:r>
      <w:r w:rsidRPr="009C4EF3">
        <w:rPr>
          <w:rFonts w:eastAsia="SymbolMT"/>
        </w:rPr>
        <w:t xml:space="preserve"> jako podklad pro evaluaci.</w:t>
      </w:r>
      <w:r>
        <w:rPr>
          <w:rFonts w:eastAsia="SymbolMT"/>
        </w:rPr>
        <w:t xml:space="preserve"> Sledováno je především naplnění strategie a finanční alokace MAS. </w:t>
      </w:r>
      <w:r w:rsidRPr="009C4EF3">
        <w:rPr>
          <w:rFonts w:eastAsia="SymbolMT"/>
        </w:rPr>
        <w:t>V </w:t>
      </w:r>
      <w:r>
        <w:rPr>
          <w:rFonts w:eastAsia="SymbolMT"/>
        </w:rPr>
        <w:t>rámci monitoringu bude sledováno:</w:t>
      </w:r>
      <w:r w:rsidRPr="009C4EF3">
        <w:rPr>
          <w:rFonts w:eastAsia="SymbolMT"/>
        </w:rPr>
        <w:t xml:space="preserve"> </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naplnění indikátorů stanovených ve strategii</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naplnění administrativních postupů činnosti MAS stanovených ve strategii</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vyhodnocení výzev k předkládání žádostí o dotaci v daném roce</w:t>
      </w:r>
      <w:r>
        <w:rPr>
          <w:rFonts w:eastAsia="SymbolMT"/>
        </w:rPr>
        <w:t>,</w:t>
      </w:r>
      <w:r w:rsidRPr="00213D8B">
        <w:rPr>
          <w:rFonts w:eastAsia="SymbolMT"/>
        </w:rPr>
        <w:t xml:space="preserve"> </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statistika a struktura žadatelů – určení nejsilnější cílové skupiny</w:t>
      </w:r>
      <w:r>
        <w:rPr>
          <w:rFonts w:eastAsia="SymbolMT"/>
        </w:rPr>
        <w:t>,</w:t>
      </w:r>
      <w:r w:rsidRPr="00213D8B">
        <w:rPr>
          <w:rFonts w:eastAsia="SymbolMT"/>
        </w:rPr>
        <w:t xml:space="preserve"> </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správnost průběhu výzvy</w:t>
      </w:r>
      <w:r>
        <w:rPr>
          <w:rFonts w:eastAsia="SymbolMT"/>
        </w:rPr>
        <w:t>,</w:t>
      </w:r>
      <w:r w:rsidRPr="00213D8B">
        <w:rPr>
          <w:rFonts w:eastAsia="SymbolMT"/>
        </w:rPr>
        <w:t xml:space="preserve"> </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preferenční kritéria – jejich správné nastavení, komunikace s výběrovou komisí</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případné kolize, problémy při příjmu a jejich možná náprava</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zhodnocení využití jednotlivých podporovaných oblastí</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spolupráce s dalšími subjekty – partnerské MAS a ostatní subjekty v regionu</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propagace MAS a její dopady</w:t>
      </w:r>
      <w:r>
        <w:rPr>
          <w:rFonts w:eastAsia="SymbolMT"/>
        </w:rPr>
        <w:t>,</w:t>
      </w:r>
    </w:p>
    <w:p w:rsidR="00A92273" w:rsidRPr="00213D8B" w:rsidRDefault="00A92273" w:rsidP="00A60AC9">
      <w:pPr>
        <w:pStyle w:val="Odstavecseseznamem"/>
        <w:numPr>
          <w:ilvl w:val="0"/>
          <w:numId w:val="76"/>
        </w:numPr>
        <w:spacing w:after="0" w:line="276" w:lineRule="auto"/>
        <w:rPr>
          <w:rFonts w:eastAsia="SymbolMT"/>
        </w:rPr>
      </w:pPr>
      <w:r w:rsidRPr="00213D8B">
        <w:rPr>
          <w:rFonts w:eastAsia="SymbolMT"/>
        </w:rPr>
        <w:t>zhodnocení zrealizovaných projektů nad rámec MAS a určení nových směrů</w:t>
      </w:r>
      <w:r>
        <w:rPr>
          <w:rFonts w:eastAsia="SymbolMT"/>
        </w:rPr>
        <w:t>.</w:t>
      </w:r>
    </w:p>
    <w:p w:rsidR="00A92273" w:rsidRPr="00A92273" w:rsidRDefault="00A92273" w:rsidP="00A92273">
      <w:pPr>
        <w:pStyle w:val="Nadpis3"/>
      </w:pPr>
      <w:bookmarkStart w:id="97" w:name="_Toc406672104"/>
      <w:bookmarkStart w:id="98" w:name="_Toc430006557"/>
      <w:r>
        <w:t>Evaluace</w:t>
      </w:r>
      <w:bookmarkEnd w:id="97"/>
      <w:bookmarkEnd w:id="98"/>
    </w:p>
    <w:p w:rsidR="00A92273" w:rsidRPr="00492474" w:rsidRDefault="00A92273" w:rsidP="00A92273">
      <w:pPr>
        <w:rPr>
          <w:rFonts w:eastAsia="TimesNewRomanPSMT"/>
        </w:rPr>
      </w:pPr>
    </w:p>
    <w:p w:rsidR="00A92273" w:rsidRPr="00492474" w:rsidRDefault="00A92273" w:rsidP="00A92273">
      <w:r w:rsidRPr="00492474">
        <w:rPr>
          <w:lang w:eastAsia="cs-CZ"/>
        </w:rPr>
        <w:t xml:space="preserve">Směrnice je zpracována pro hodnocení činnosti MAS při realizaci </w:t>
      </w:r>
      <w:r>
        <w:rPr>
          <w:lang w:eastAsia="cs-CZ"/>
        </w:rPr>
        <w:t>strategie</w:t>
      </w:r>
      <w:r w:rsidRPr="00492474">
        <w:rPr>
          <w:lang w:eastAsia="cs-CZ"/>
        </w:rPr>
        <w:t xml:space="preserve"> MAS Litomyšlsko.</w:t>
      </w:r>
      <w:r>
        <w:rPr>
          <w:lang w:eastAsia="cs-CZ"/>
        </w:rPr>
        <w:t xml:space="preserve"> </w:t>
      </w:r>
      <w:r w:rsidRPr="00492474">
        <w:rPr>
          <w:lang w:eastAsia="cs-CZ"/>
        </w:rPr>
        <w:t xml:space="preserve">Cílem evaluace je pravidelně metodicky shromažďovat informace o realizaci </w:t>
      </w:r>
      <w:r>
        <w:rPr>
          <w:lang w:eastAsia="cs-CZ"/>
        </w:rPr>
        <w:t>strategie</w:t>
      </w:r>
      <w:r w:rsidRPr="00492474">
        <w:rPr>
          <w:lang w:eastAsia="cs-CZ"/>
        </w:rPr>
        <w:t xml:space="preserve"> MAS</w:t>
      </w:r>
      <w:r>
        <w:rPr>
          <w:lang w:eastAsia="cs-CZ"/>
        </w:rPr>
        <w:t xml:space="preserve"> </w:t>
      </w:r>
      <w:r w:rsidRPr="00492474">
        <w:rPr>
          <w:lang w:eastAsia="cs-CZ"/>
        </w:rPr>
        <w:t>Litomyšlsko, vyhodnocovat je a výsledky použít pro zlepšování řízení realizace</w:t>
      </w:r>
      <w:r>
        <w:rPr>
          <w:lang w:eastAsia="cs-CZ"/>
        </w:rPr>
        <w:t xml:space="preserve"> strategie</w:t>
      </w:r>
      <w:r w:rsidRPr="00492474">
        <w:rPr>
          <w:lang w:eastAsia="cs-CZ"/>
        </w:rPr>
        <w:t xml:space="preserve">. </w:t>
      </w:r>
      <w:r w:rsidRPr="00492474">
        <w:t>Evaluace je zaměřena na činnosti MAS (nastavení administ</w:t>
      </w:r>
      <w:r>
        <w:t>rativních postupů, komunikace s </w:t>
      </w:r>
      <w:r w:rsidRPr="00492474">
        <w:t xml:space="preserve">žadateli, přenos informací o realizaci </w:t>
      </w:r>
      <w:r>
        <w:t>strategie</w:t>
      </w:r>
      <w:r w:rsidRPr="00492474">
        <w:t xml:space="preserve"> do území, transparentnost výběru projektů apod.) a dále také poskytuje vstupní údaje pro nové zaměření </w:t>
      </w:r>
      <w:r>
        <w:t>strategie</w:t>
      </w:r>
      <w:r w:rsidRPr="00492474">
        <w:t>.</w:t>
      </w:r>
    </w:p>
    <w:p w:rsidR="00A92273" w:rsidRDefault="00A92273" w:rsidP="00A92273">
      <w:r w:rsidRPr="00492474">
        <w:t xml:space="preserve">Hodnocení do značné míry vychází z údajů a informací získaných monitoringem (mezi oběma činnostmi je provázanost). </w:t>
      </w:r>
    </w:p>
    <w:p w:rsidR="00A92273" w:rsidRPr="00492474" w:rsidRDefault="00A92273" w:rsidP="00A92273">
      <w:r w:rsidRPr="00492474">
        <w:t xml:space="preserve">Hodnotící zpráva je využívána pro vnitřní práci MAS (zlepšení a další rozvoj její činnosti) a navenek slouží jako doklad transparentnosti a k propagaci činnosti MAS. </w:t>
      </w:r>
    </w:p>
    <w:p w:rsidR="00A92273" w:rsidRPr="00492474" w:rsidRDefault="00A92273" w:rsidP="00A92273">
      <w:r w:rsidRPr="00492474">
        <w:lastRenderedPageBreak/>
        <w:t xml:space="preserve">MAS provádí průběžnou evaluaci. Podklady pro evaluaci se získávají průběžně po celou dobu realizace </w:t>
      </w:r>
      <w:r>
        <w:t>strategie</w:t>
      </w:r>
      <w:r w:rsidRPr="00492474">
        <w:t>. Získaná data jsou vyhodnocována jednou za rok. MAS ve své činnosti uplatňuje doporučení, která jsou jedním z výstupů evaluace.</w:t>
      </w:r>
    </w:p>
    <w:p w:rsidR="00A92273" w:rsidRPr="00492474" w:rsidRDefault="00A92273" w:rsidP="00A92273">
      <w:pPr>
        <w:rPr>
          <w:lang w:eastAsia="cs-CZ"/>
        </w:rPr>
      </w:pPr>
    </w:p>
    <w:p w:rsidR="00A92273" w:rsidRPr="00492474" w:rsidRDefault="00A92273" w:rsidP="00A92273">
      <w:pPr>
        <w:rPr>
          <w:lang w:eastAsia="cs-CZ"/>
        </w:rPr>
      </w:pPr>
      <w:r w:rsidRPr="00492474">
        <w:rPr>
          <w:lang w:eastAsia="cs-CZ"/>
        </w:rPr>
        <w:t>Každoročně je prováděno</w:t>
      </w:r>
      <w:r>
        <w:rPr>
          <w:lang w:eastAsia="cs-CZ"/>
        </w:rPr>
        <w:t xml:space="preserve"> také</w:t>
      </w:r>
      <w:r w:rsidRPr="00492474">
        <w:rPr>
          <w:lang w:eastAsia="cs-CZ"/>
        </w:rPr>
        <w:t xml:space="preserve"> externí hodnocení činnosti MAS Litomyšlsko jinou MAS, výstupem je zpráva z hodnocení.</w:t>
      </w:r>
    </w:p>
    <w:p w:rsidR="00A92273" w:rsidRPr="00492474" w:rsidRDefault="00A92273" w:rsidP="00A92273">
      <w:pPr>
        <w:rPr>
          <w:lang w:eastAsia="cs-CZ"/>
        </w:rPr>
      </w:pPr>
    </w:p>
    <w:p w:rsidR="00A92273" w:rsidRPr="00492474" w:rsidRDefault="00A92273" w:rsidP="00A92273">
      <w:pPr>
        <w:rPr>
          <w:rFonts w:eastAsia="TimesNewRomanPSMT"/>
        </w:rPr>
      </w:pPr>
    </w:p>
    <w:p w:rsidR="00A92273" w:rsidRPr="00352367" w:rsidRDefault="00A92273" w:rsidP="00A92273">
      <w:pPr>
        <w:rPr>
          <w:rFonts w:eastAsia="TimesNewRomanPSMT"/>
          <w:b/>
        </w:rPr>
      </w:pPr>
      <w:r w:rsidRPr="00352367">
        <w:rPr>
          <w:rFonts w:eastAsia="SymbolMT"/>
          <w:b/>
        </w:rPr>
        <w:t>P</w:t>
      </w:r>
      <w:r w:rsidRPr="00352367">
        <w:rPr>
          <w:rFonts w:eastAsia="TimesNewRomanPSMT"/>
          <w:b/>
        </w:rPr>
        <w:t>lán vyhodnocování</w:t>
      </w:r>
    </w:p>
    <w:p w:rsidR="00A92273" w:rsidRPr="00492474" w:rsidRDefault="00A92273" w:rsidP="00A92273">
      <w:pPr>
        <w:rPr>
          <w:rFonts w:eastAsia="TimesNewRomanPSMT"/>
        </w:rPr>
      </w:pPr>
      <w:r w:rsidRPr="00492474">
        <w:rPr>
          <w:rFonts w:eastAsia="TimesNewRomanPSMT"/>
        </w:rPr>
        <w:t>Vyhodnocování naplnění</w:t>
      </w:r>
      <w:r>
        <w:rPr>
          <w:rFonts w:eastAsia="TimesNewRomanPSMT"/>
        </w:rPr>
        <w:t xml:space="preserve"> strategie MAS Litomyšlsko je</w:t>
      </w:r>
      <w:r w:rsidRPr="00492474">
        <w:rPr>
          <w:rFonts w:eastAsia="TimesNewRomanPSMT"/>
        </w:rPr>
        <w:t xml:space="preserve"> realizováno prostřednictvím průběžného shroma</w:t>
      </w:r>
      <w:r>
        <w:rPr>
          <w:rFonts w:eastAsia="TimesNewRomanPSMT"/>
        </w:rPr>
        <w:t>žďování podkladů pro evaluaci a</w:t>
      </w:r>
      <w:r w:rsidRPr="00492474">
        <w:rPr>
          <w:rFonts w:eastAsia="TimesNewRomanPSMT"/>
        </w:rPr>
        <w:t xml:space="preserve"> každoročním monitorováním dosahování monitorovacích ukazatelů MAS Litomyšlsko a činnosti MAS Litomyšlsko, jejímž výstupem je monitorovací zpráva o činnosti MAS.</w:t>
      </w:r>
    </w:p>
    <w:p w:rsidR="00A92273" w:rsidRPr="00492474" w:rsidRDefault="00A92273" w:rsidP="00A92273">
      <w:pPr>
        <w:rPr>
          <w:rFonts w:eastAsia="TimesNewRomanPSMT"/>
        </w:rPr>
      </w:pPr>
    </w:p>
    <w:p w:rsidR="00A92273" w:rsidRPr="00492474" w:rsidRDefault="00A92273" w:rsidP="00A92273">
      <w:pPr>
        <w:rPr>
          <w:rFonts w:eastAsia="TimesNewRomanPSMT"/>
        </w:rPr>
      </w:pPr>
    </w:p>
    <w:p w:rsidR="00A92273" w:rsidRPr="00352367" w:rsidRDefault="00A92273" w:rsidP="00A92273">
      <w:pPr>
        <w:rPr>
          <w:rFonts w:eastAsia="TimesNewRomanPSMT"/>
          <w:b/>
        </w:rPr>
      </w:pPr>
      <w:r w:rsidRPr="00352367">
        <w:rPr>
          <w:rFonts w:eastAsia="SymbolMT"/>
          <w:b/>
        </w:rPr>
        <w:t>P</w:t>
      </w:r>
      <w:r w:rsidRPr="00352367">
        <w:rPr>
          <w:rFonts w:eastAsia="TimesNewRomanPSMT"/>
          <w:b/>
        </w:rPr>
        <w:t>ostupy vyhodnocování</w:t>
      </w:r>
    </w:p>
    <w:p w:rsidR="00A92273" w:rsidRPr="00492474" w:rsidRDefault="00A92273" w:rsidP="00A92273">
      <w:pPr>
        <w:rPr>
          <w:rFonts w:eastAsia="TimesNewRomanPSMT"/>
        </w:rPr>
      </w:pPr>
      <w:r w:rsidRPr="00492474">
        <w:rPr>
          <w:rFonts w:eastAsia="TimesNewRomanPSMT"/>
        </w:rPr>
        <w:t>Pro potřeby evalu</w:t>
      </w:r>
      <w:r>
        <w:rPr>
          <w:rFonts w:eastAsia="TimesNewRomanPSMT"/>
        </w:rPr>
        <w:t>ace je</w:t>
      </w:r>
      <w:r w:rsidRPr="00492474">
        <w:rPr>
          <w:rFonts w:eastAsia="TimesNewRomanPSMT"/>
        </w:rPr>
        <w:t xml:space="preserve"> 1x za rok vyhotovena monitorovací zpráva o činnosti MAS a z této zprávy </w:t>
      </w:r>
      <w:r>
        <w:rPr>
          <w:rFonts w:eastAsia="TimesNewRomanPSMT"/>
        </w:rPr>
        <w:t>vychází evaluace, jejíž výstupy jsou následně</w:t>
      </w:r>
      <w:r w:rsidRPr="00492474">
        <w:rPr>
          <w:rFonts w:eastAsia="TimesNewRomanPSMT"/>
        </w:rPr>
        <w:t xml:space="preserve"> promítnuty do aktualiza</w:t>
      </w:r>
      <w:r>
        <w:rPr>
          <w:rFonts w:eastAsia="TimesNewRomanPSMT"/>
        </w:rPr>
        <w:t>ce strategie. Monitorovací zpráva sleduje</w:t>
      </w:r>
      <w:r w:rsidRPr="00492474">
        <w:rPr>
          <w:rFonts w:eastAsia="TimesNewRomanPSMT"/>
        </w:rPr>
        <w:t xml:space="preserve"> naplnění </w:t>
      </w:r>
      <w:r>
        <w:rPr>
          <w:rFonts w:eastAsia="TimesNewRomanPSMT"/>
        </w:rPr>
        <w:t>strategie</w:t>
      </w:r>
      <w:r w:rsidRPr="00492474">
        <w:rPr>
          <w:rFonts w:eastAsia="TimesNewRomanPSMT"/>
        </w:rPr>
        <w:t xml:space="preserve"> dle jednotlivých indikátorů, změny oproti uplynulému období a </w:t>
      </w:r>
      <w:r>
        <w:rPr>
          <w:rFonts w:eastAsia="TimesNewRomanPSMT"/>
        </w:rPr>
        <w:t>změny jsou</w:t>
      </w:r>
      <w:r w:rsidRPr="00492474">
        <w:rPr>
          <w:rFonts w:eastAsia="TimesNewRomanPSMT"/>
        </w:rPr>
        <w:t xml:space="preserve"> v případně nutnosti a zaneseny do </w:t>
      </w:r>
      <w:r>
        <w:rPr>
          <w:rFonts w:eastAsia="TimesNewRomanPSMT"/>
        </w:rPr>
        <w:t>strategie</w:t>
      </w:r>
      <w:r w:rsidRPr="00492474">
        <w:rPr>
          <w:rFonts w:eastAsia="TimesNewRomanPSMT"/>
        </w:rPr>
        <w:t xml:space="preserve">. </w:t>
      </w:r>
    </w:p>
    <w:p w:rsidR="00A92273" w:rsidRPr="00492474" w:rsidRDefault="00A92273" w:rsidP="00A92273">
      <w:pPr>
        <w:rPr>
          <w:lang w:eastAsia="cs-CZ"/>
        </w:rPr>
      </w:pPr>
      <w:r w:rsidRPr="00492474">
        <w:rPr>
          <w:lang w:eastAsia="cs-CZ"/>
        </w:rPr>
        <w:t xml:space="preserve">Provedení hodnocení realizace </w:t>
      </w:r>
      <w:r>
        <w:rPr>
          <w:lang w:eastAsia="cs-CZ"/>
        </w:rPr>
        <w:t>strategie</w:t>
      </w:r>
      <w:r w:rsidRPr="00492474">
        <w:rPr>
          <w:lang w:eastAsia="cs-CZ"/>
        </w:rPr>
        <w:t xml:space="preserve"> (evaluace), tedy výstupy a závěry z tohoto hodnocení</w:t>
      </w:r>
      <w:r>
        <w:rPr>
          <w:lang w:eastAsia="cs-CZ"/>
        </w:rPr>
        <w:t>, jsou</w:t>
      </w:r>
      <w:r w:rsidRPr="00492474">
        <w:rPr>
          <w:lang w:eastAsia="cs-CZ"/>
        </w:rPr>
        <w:t xml:space="preserve"> podkladem pro vyhodnocení účelnosti, efektivity a hospodárnosti realizace </w:t>
      </w:r>
      <w:r>
        <w:rPr>
          <w:lang w:eastAsia="cs-CZ"/>
        </w:rPr>
        <w:t>strategie</w:t>
      </w:r>
      <w:r w:rsidRPr="00492474">
        <w:rPr>
          <w:lang w:eastAsia="cs-CZ"/>
        </w:rPr>
        <w:t xml:space="preserve"> a realizované intervence z prostředků </w:t>
      </w:r>
      <w:r>
        <w:rPr>
          <w:lang w:eastAsia="cs-CZ"/>
        </w:rPr>
        <w:t>Operačních programů</w:t>
      </w:r>
      <w:r w:rsidRPr="00492474">
        <w:rPr>
          <w:lang w:eastAsia="cs-CZ"/>
        </w:rPr>
        <w:t xml:space="preserve">. </w:t>
      </w:r>
    </w:p>
    <w:p w:rsidR="00A92273" w:rsidRDefault="00A92273" w:rsidP="00A92273">
      <w:pPr>
        <w:rPr>
          <w:rFonts w:eastAsia="TimesNewRomanPSMT"/>
        </w:rPr>
      </w:pPr>
    </w:p>
    <w:p w:rsidR="00A92273" w:rsidRDefault="00A92273" w:rsidP="00A92273">
      <w:pPr>
        <w:rPr>
          <w:rFonts w:eastAsia="TimesNewRomanPSMT"/>
        </w:rPr>
      </w:pPr>
    </w:p>
    <w:p w:rsidR="00A92273" w:rsidRDefault="00A92273" w:rsidP="00A92273">
      <w:pPr>
        <w:rPr>
          <w:rFonts w:eastAsia="TimesNewRomanPSMT"/>
        </w:rPr>
      </w:pPr>
    </w:p>
    <w:p w:rsidR="00A92273" w:rsidRDefault="00A92273" w:rsidP="00A92273">
      <w:pPr>
        <w:rPr>
          <w:rFonts w:eastAsia="TimesNewRomanPSMT"/>
        </w:rPr>
      </w:pPr>
    </w:p>
    <w:p w:rsidR="00A92273" w:rsidRPr="00352367" w:rsidRDefault="00A92273" w:rsidP="00A92273">
      <w:pPr>
        <w:rPr>
          <w:rFonts w:eastAsia="TimesNewRomanPSMT"/>
          <w:b/>
        </w:rPr>
      </w:pPr>
      <w:r w:rsidRPr="00352367">
        <w:rPr>
          <w:rFonts w:eastAsia="TimesNewRomanPSMT"/>
          <w:b/>
        </w:rPr>
        <w:t>Evaluace je realizována v těchto třech hlavních oblastech:</w:t>
      </w:r>
    </w:p>
    <w:p w:rsidR="00A92273" w:rsidRPr="00492474" w:rsidRDefault="00A92273" w:rsidP="00A92273">
      <w:pPr>
        <w:ind w:left="708"/>
        <w:rPr>
          <w:lang w:eastAsia="cs-CZ"/>
        </w:rPr>
      </w:pPr>
      <w:r w:rsidRPr="00492474">
        <w:rPr>
          <w:rFonts w:eastAsia="TimesNewRomanPSMT"/>
          <w:b/>
          <w:bCs/>
        </w:rPr>
        <w:t>-</w:t>
      </w:r>
      <w:r w:rsidRPr="00492474">
        <w:rPr>
          <w:lang w:eastAsia="cs-CZ"/>
        </w:rPr>
        <w:t xml:space="preserve"> vyhodnocování průběhu administrativních procesů, které MAS provádí v rámci</w:t>
      </w:r>
      <w:r>
        <w:rPr>
          <w:lang w:eastAsia="cs-CZ"/>
        </w:rPr>
        <w:t xml:space="preserve"> </w:t>
      </w:r>
      <w:r w:rsidRPr="00492474">
        <w:rPr>
          <w:lang w:eastAsia="cs-CZ"/>
        </w:rPr>
        <w:t>příjmu, výběru a kontroly realizace individuálních projektů z pohledu dodržování</w:t>
      </w:r>
      <w:r>
        <w:rPr>
          <w:lang w:eastAsia="cs-CZ"/>
        </w:rPr>
        <w:t xml:space="preserve"> </w:t>
      </w:r>
      <w:r w:rsidRPr="00492474">
        <w:rPr>
          <w:lang w:eastAsia="cs-CZ"/>
        </w:rPr>
        <w:t>stanovených pravidel a efektivity prováděných činností,</w:t>
      </w:r>
    </w:p>
    <w:p w:rsidR="00A92273" w:rsidRPr="00492474" w:rsidRDefault="00A92273" w:rsidP="00A92273">
      <w:pPr>
        <w:ind w:left="708"/>
        <w:rPr>
          <w:lang w:eastAsia="cs-CZ"/>
        </w:rPr>
      </w:pPr>
      <w:r w:rsidRPr="00492474">
        <w:rPr>
          <w:lang w:eastAsia="cs-CZ"/>
        </w:rPr>
        <w:t>- vyhodnocování podpůrných činností MAS, tj. především činností informačních,</w:t>
      </w:r>
      <w:r>
        <w:rPr>
          <w:lang w:eastAsia="cs-CZ"/>
        </w:rPr>
        <w:t xml:space="preserve"> </w:t>
      </w:r>
      <w:r w:rsidRPr="00492474">
        <w:rPr>
          <w:lang w:eastAsia="cs-CZ"/>
        </w:rPr>
        <w:t>vzdělávacích, propagačních atd.,</w:t>
      </w:r>
    </w:p>
    <w:p w:rsidR="00A92273" w:rsidRPr="00492474" w:rsidRDefault="00A92273" w:rsidP="00A92273">
      <w:pPr>
        <w:ind w:left="708"/>
        <w:rPr>
          <w:lang w:eastAsia="cs-CZ"/>
        </w:rPr>
      </w:pPr>
      <w:r w:rsidRPr="00492474">
        <w:rPr>
          <w:lang w:eastAsia="cs-CZ"/>
        </w:rPr>
        <w:t>- vyhodnocování aplikace metody LEADER</w:t>
      </w:r>
      <w:r>
        <w:rPr>
          <w:lang w:eastAsia="cs-CZ"/>
        </w:rPr>
        <w:t>.</w:t>
      </w:r>
    </w:p>
    <w:p w:rsidR="00A92273" w:rsidRPr="00492474" w:rsidRDefault="00A92273" w:rsidP="00A92273">
      <w:pPr>
        <w:rPr>
          <w:lang w:eastAsia="cs-CZ"/>
        </w:rPr>
      </w:pPr>
    </w:p>
    <w:p w:rsidR="00A92273" w:rsidRPr="00492474" w:rsidRDefault="00A92273" w:rsidP="00A92273">
      <w:pPr>
        <w:rPr>
          <w:rFonts w:eastAsia="TimesNewRomanPSMT"/>
        </w:rPr>
      </w:pPr>
    </w:p>
    <w:p w:rsidR="00A92273" w:rsidRDefault="00A92273" w:rsidP="00A92273">
      <w:pPr>
        <w:rPr>
          <w:rFonts w:eastAsia="TimesNewRomanPSMT"/>
          <w:b/>
        </w:rPr>
      </w:pPr>
      <w:r w:rsidRPr="00352367">
        <w:rPr>
          <w:rFonts w:eastAsia="SymbolMT"/>
          <w:b/>
        </w:rPr>
        <w:t>Z</w:t>
      </w:r>
      <w:r w:rsidRPr="00352367">
        <w:rPr>
          <w:rFonts w:eastAsia="TimesNewRomanPSMT"/>
          <w:b/>
        </w:rPr>
        <w:t>ajištění evaluace</w:t>
      </w:r>
    </w:p>
    <w:p w:rsidR="00A92273" w:rsidRPr="00352367" w:rsidRDefault="00A92273" w:rsidP="00A92273">
      <w:pPr>
        <w:rPr>
          <w:rFonts w:eastAsia="TimesNewRomanPSMT"/>
          <w:b/>
        </w:rPr>
      </w:pPr>
    </w:p>
    <w:p w:rsidR="00A92273" w:rsidRPr="00492474" w:rsidRDefault="00A92273" w:rsidP="00A92273">
      <w:pPr>
        <w:rPr>
          <w:rFonts w:eastAsia="TimesNewRomanPSMT"/>
        </w:rPr>
      </w:pPr>
      <w:r>
        <w:rPr>
          <w:rFonts w:eastAsia="TimesNewRomanPSMT"/>
        </w:rPr>
        <w:t>Evaluace sleduje</w:t>
      </w:r>
      <w:r w:rsidRPr="00492474">
        <w:rPr>
          <w:rFonts w:eastAsia="TimesNewRomanPSMT"/>
        </w:rPr>
        <w:t xml:space="preserve"> zejména:</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n</w:t>
      </w:r>
      <w:r w:rsidRPr="00352367">
        <w:rPr>
          <w:rFonts w:eastAsia="TimesNewRomanPSMT"/>
        </w:rPr>
        <w:t>aplnění monitoro</w:t>
      </w:r>
      <w:r>
        <w:rPr>
          <w:rFonts w:eastAsia="TimesNewRomanPSMT"/>
        </w:rPr>
        <w:t>vacích indikátorů stanovených ve strategii,</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TimesNewRomanPSMT"/>
        </w:rPr>
        <w:t>Průběh, administrace, systém výzev</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TimesNewRomanPSMT"/>
        </w:rPr>
        <w:t>preferenční kritéria – zhodnocení nastavených kritérií a návrhy na zlepšení</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TimesNewRomanPSMT"/>
        </w:rPr>
        <w:t xml:space="preserve">struktura žadatelů – určení cílové skupiny a s tím nastavení </w:t>
      </w:r>
      <w:r>
        <w:rPr>
          <w:rFonts w:eastAsia="TimesNewRomanPSMT"/>
        </w:rPr>
        <w:t>oblastí podpory</w:t>
      </w:r>
      <w:r w:rsidRPr="00352367">
        <w:rPr>
          <w:rFonts w:eastAsia="TimesNewRomanPSMT"/>
        </w:rPr>
        <w:t xml:space="preserve"> pro další výzvu, struktura žadatelů určí i další plánované projekty nad rámec </w:t>
      </w:r>
      <w:r>
        <w:rPr>
          <w:rFonts w:eastAsia="TimesNewRomanPSMT"/>
        </w:rPr>
        <w:t>strategie,</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TimesNewRomanPSMT"/>
        </w:rPr>
        <w:t xml:space="preserve">potřeby žadatelů – projekty nad rámec </w:t>
      </w:r>
      <w:r>
        <w:rPr>
          <w:rFonts w:eastAsia="TimesNewRomanPSMT"/>
        </w:rPr>
        <w:t>strategie – nové návrhy,</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SymbolMT"/>
        </w:rPr>
        <w:t>možnosti zlepšení nastavení průběhu výzvy – zlepšení a zjednodušení administrativních postupů</w:t>
      </w:r>
      <w:r>
        <w:rPr>
          <w:rFonts w:eastAsia="SymbolMT"/>
        </w:rPr>
        <w:t>,</w:t>
      </w:r>
    </w:p>
    <w:p w:rsidR="00A92273" w:rsidRPr="00352367" w:rsidRDefault="00A92273" w:rsidP="00A60AC9">
      <w:pPr>
        <w:pStyle w:val="Odstavecseseznamem"/>
        <w:numPr>
          <w:ilvl w:val="0"/>
          <w:numId w:val="69"/>
        </w:numPr>
        <w:spacing w:after="0" w:line="276" w:lineRule="auto"/>
        <w:rPr>
          <w:rFonts w:eastAsia="TimesNewRomanPSMT"/>
        </w:rPr>
      </w:pPr>
      <w:r w:rsidRPr="00352367">
        <w:rPr>
          <w:rFonts w:eastAsia="SymbolMT"/>
        </w:rPr>
        <w:t>stanovení případných chyb, jejich odstranění a náprava</w:t>
      </w:r>
      <w:r>
        <w:rPr>
          <w:rFonts w:eastAsia="SymbolMT"/>
        </w:rPr>
        <w:t>,</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a</w:t>
      </w:r>
      <w:r w:rsidRPr="00352367">
        <w:rPr>
          <w:rFonts w:eastAsia="TimesNewRomanPSMT"/>
        </w:rPr>
        <w:t xml:space="preserve">dministrativní postupy MAS </w:t>
      </w:r>
      <w:r w:rsidRPr="00352367">
        <w:rPr>
          <w:rFonts w:eastAsia="SymbolMT"/>
        </w:rPr>
        <w:t>a případné zlepšení a nastavení no</w:t>
      </w:r>
      <w:r>
        <w:rPr>
          <w:rFonts w:eastAsia="SymbolMT"/>
        </w:rPr>
        <w:t>vých postupů v případě nutnosti,</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ř</w:t>
      </w:r>
      <w:r w:rsidRPr="00352367">
        <w:rPr>
          <w:rFonts w:eastAsia="TimesNewRomanPSMT"/>
        </w:rPr>
        <w:t xml:space="preserve">ízení realizace </w:t>
      </w:r>
      <w:r>
        <w:rPr>
          <w:rFonts w:eastAsia="TimesNewRomanPSMT"/>
        </w:rPr>
        <w:t>strategie,</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lastRenderedPageBreak/>
        <w:t>f</w:t>
      </w:r>
      <w:r w:rsidRPr="00352367">
        <w:rPr>
          <w:rFonts w:eastAsia="TimesNewRomanPSMT"/>
        </w:rPr>
        <w:t xml:space="preserve">inanční řízení realizace </w:t>
      </w:r>
      <w:r>
        <w:rPr>
          <w:rFonts w:eastAsia="TimesNewRomanPSMT"/>
        </w:rPr>
        <w:t>strategie,</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n</w:t>
      </w:r>
      <w:r w:rsidRPr="00352367">
        <w:rPr>
          <w:rFonts w:eastAsia="TimesNewRomanPSMT"/>
        </w:rPr>
        <w:t xml:space="preserve">aplňování priorit a cílů </w:t>
      </w:r>
      <w:r>
        <w:rPr>
          <w:rFonts w:eastAsia="TimesNewRomanPSMT"/>
        </w:rPr>
        <w:t>strategie,</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p</w:t>
      </w:r>
      <w:r w:rsidRPr="00352367">
        <w:rPr>
          <w:rFonts w:eastAsia="TimesNewRomanPSMT"/>
        </w:rPr>
        <w:t>roblémy realizace (na úrovni MAS</w:t>
      </w:r>
      <w:r>
        <w:rPr>
          <w:rFonts w:eastAsia="TimesNewRomanPSMT"/>
        </w:rPr>
        <w:t xml:space="preserve"> a z pohledu žadatelů/příjemců),</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s</w:t>
      </w:r>
      <w:r w:rsidRPr="00352367">
        <w:rPr>
          <w:rFonts w:eastAsia="TimesNewRomanPSMT"/>
        </w:rPr>
        <w:t>polupráce mezi jednotlivými MAS a s dalšími subjekty – zhodnocení dosavadní činnosti a</w:t>
      </w:r>
      <w:r>
        <w:rPr>
          <w:rFonts w:eastAsia="TimesNewRomanPSMT"/>
        </w:rPr>
        <w:t xml:space="preserve"> příprava na následující období,</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p</w:t>
      </w:r>
      <w:r w:rsidRPr="00352367">
        <w:rPr>
          <w:rFonts w:eastAsia="TimesNewRomanPSMT"/>
        </w:rPr>
        <w:t xml:space="preserve">otřeby v regionu a zaměření činnosti MAS – návrh na nové projekty nad rámec </w:t>
      </w:r>
      <w:r>
        <w:rPr>
          <w:rFonts w:eastAsia="TimesNewRomanPSMT"/>
        </w:rPr>
        <w:t>strategie</w:t>
      </w:r>
      <w:r w:rsidRPr="00352367">
        <w:rPr>
          <w:rFonts w:eastAsia="TimesNewRomanPSMT"/>
        </w:rPr>
        <w:t>. Vycházíme ze subjektů, které žádaly o dotaci</w:t>
      </w:r>
      <w:r>
        <w:rPr>
          <w:rFonts w:eastAsia="TimesNewRomanPSMT"/>
        </w:rPr>
        <w:t xml:space="preserve"> </w:t>
      </w:r>
      <w:r w:rsidRPr="00352367">
        <w:rPr>
          <w:rFonts w:eastAsia="TimesNewRomanPSMT"/>
        </w:rPr>
        <w:t>- cílová skupina a potřeby</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d</w:t>
      </w:r>
      <w:r w:rsidRPr="00352367">
        <w:rPr>
          <w:rFonts w:eastAsia="TimesNewRomanPSMT"/>
        </w:rPr>
        <w:t xml:space="preserve">opady realizace </w:t>
      </w:r>
      <w:r>
        <w:rPr>
          <w:rFonts w:eastAsia="TimesNewRomanPSMT"/>
        </w:rPr>
        <w:t>strategie</w:t>
      </w:r>
      <w:r w:rsidRPr="00352367">
        <w:rPr>
          <w:rFonts w:eastAsia="TimesNewRomanPSMT"/>
        </w:rPr>
        <w:t xml:space="preserve"> na území MAS</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p</w:t>
      </w:r>
      <w:r w:rsidRPr="00352367">
        <w:rPr>
          <w:rFonts w:eastAsia="TimesNewRomanPSMT"/>
        </w:rPr>
        <w:t>ropagace – zhodnocení dosavadní propagace a návrh na nové zaměření</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r</w:t>
      </w:r>
      <w:r w:rsidRPr="00352367">
        <w:rPr>
          <w:rFonts w:eastAsia="TimesNewRomanPSMT"/>
        </w:rPr>
        <w:t xml:space="preserve">ealizace projektů nad rámec </w:t>
      </w:r>
      <w:r>
        <w:rPr>
          <w:rFonts w:eastAsia="TimesNewRomanPSMT"/>
        </w:rPr>
        <w:t>strategie</w:t>
      </w:r>
      <w:r w:rsidRPr="00352367">
        <w:rPr>
          <w:rFonts w:eastAsia="TimesNewRomanPSMT"/>
        </w:rPr>
        <w:t xml:space="preserve"> – její</w:t>
      </w:r>
      <w:r>
        <w:rPr>
          <w:rFonts w:eastAsia="TimesNewRomanPSMT"/>
        </w:rPr>
        <w:t xml:space="preserve">ch zhodnocení a další návrhy na </w:t>
      </w:r>
      <w:r w:rsidRPr="00352367">
        <w:rPr>
          <w:rFonts w:eastAsia="TimesNewRomanPSMT"/>
        </w:rPr>
        <w:t>nové projekty</w:t>
      </w:r>
      <w:r>
        <w:rPr>
          <w:rFonts w:eastAsia="TimesNewRomanPSMT"/>
        </w:rPr>
        <w:t>,</w:t>
      </w:r>
    </w:p>
    <w:p w:rsidR="00A92273" w:rsidRPr="00352367" w:rsidRDefault="00A92273" w:rsidP="00A60AC9">
      <w:pPr>
        <w:pStyle w:val="Odstavecseseznamem"/>
        <w:numPr>
          <w:ilvl w:val="0"/>
          <w:numId w:val="69"/>
        </w:numPr>
        <w:spacing w:after="0" w:line="276" w:lineRule="auto"/>
        <w:rPr>
          <w:rFonts w:eastAsia="TimesNewRomanPSMT"/>
        </w:rPr>
      </w:pPr>
      <w:r>
        <w:rPr>
          <w:rFonts w:eastAsia="TimesNewRomanPSMT"/>
        </w:rPr>
        <w:t>z</w:t>
      </w:r>
      <w:r w:rsidRPr="00352367">
        <w:rPr>
          <w:rFonts w:eastAsia="TimesNewRomanPSMT"/>
        </w:rPr>
        <w:t>měny v</w:t>
      </w:r>
      <w:r>
        <w:rPr>
          <w:rFonts w:eastAsia="TimesNewRomanPSMT"/>
        </w:rPr>
        <w:t>e</w:t>
      </w:r>
      <w:r w:rsidRPr="00352367">
        <w:rPr>
          <w:rFonts w:eastAsia="TimesNewRomanPSMT"/>
        </w:rPr>
        <w:t> </w:t>
      </w:r>
      <w:r>
        <w:rPr>
          <w:rFonts w:eastAsia="TimesNewRomanPSMT"/>
        </w:rPr>
        <w:t>strategii</w:t>
      </w:r>
      <w:r w:rsidRPr="00352367">
        <w:rPr>
          <w:rFonts w:eastAsia="TimesNewRomanPSMT"/>
        </w:rPr>
        <w:t xml:space="preserve"> a návrhy na zlepšení</w:t>
      </w:r>
      <w:r>
        <w:rPr>
          <w:rFonts w:eastAsia="TimesNewRomanPSMT"/>
        </w:rPr>
        <w:t>.</w:t>
      </w:r>
    </w:p>
    <w:p w:rsidR="00A92273" w:rsidRPr="00492474" w:rsidRDefault="00A92273" w:rsidP="00A92273">
      <w:pPr>
        <w:rPr>
          <w:rFonts w:eastAsia="TimesNewRomanPSMT"/>
        </w:rPr>
      </w:pPr>
    </w:p>
    <w:p w:rsidR="00A92273" w:rsidRPr="00492474" w:rsidRDefault="00A92273" w:rsidP="00A92273">
      <w:pPr>
        <w:rPr>
          <w:rFonts w:eastAsia="TimesNewRomanPSMT"/>
        </w:rPr>
      </w:pPr>
    </w:p>
    <w:p w:rsidR="00A92273" w:rsidRPr="00352367" w:rsidRDefault="00A92273" w:rsidP="00A92273">
      <w:pPr>
        <w:rPr>
          <w:rFonts w:eastAsia="TimesNewRomanPSMT"/>
          <w:b/>
        </w:rPr>
      </w:pPr>
      <w:r w:rsidRPr="00352367">
        <w:rPr>
          <w:rFonts w:eastAsia="SymbolMT"/>
          <w:b/>
        </w:rPr>
        <w:t>N</w:t>
      </w:r>
      <w:r w:rsidRPr="00352367">
        <w:rPr>
          <w:rFonts w:eastAsia="TimesNewRomanPSMT"/>
          <w:b/>
        </w:rPr>
        <w:t xml:space="preserve">ávrh způsobu zapracování výsledků vyhodnocování do </w:t>
      </w:r>
      <w:r>
        <w:rPr>
          <w:rFonts w:eastAsia="TimesNewRomanPSMT"/>
          <w:b/>
        </w:rPr>
        <w:t>strategie</w:t>
      </w:r>
    </w:p>
    <w:p w:rsidR="00A92273" w:rsidRPr="00492474" w:rsidRDefault="00A92273" w:rsidP="00A92273">
      <w:pPr>
        <w:rPr>
          <w:lang w:eastAsia="cs-CZ"/>
        </w:rPr>
      </w:pPr>
      <w:r w:rsidRPr="00492474">
        <w:rPr>
          <w:rFonts w:eastAsia="TimesNewRomanPSMT"/>
        </w:rPr>
        <w:t xml:space="preserve">Výsledky </w:t>
      </w:r>
      <w:r>
        <w:rPr>
          <w:rFonts w:eastAsia="TimesNewRomanPSMT"/>
        </w:rPr>
        <w:t>zpracovává</w:t>
      </w:r>
      <w:r w:rsidRPr="00492474">
        <w:rPr>
          <w:rFonts w:eastAsia="TimesNewRomanPSMT"/>
        </w:rPr>
        <w:t xml:space="preserve"> pověřený pracovník MAS. Pracovník MAS ze své praxe dokáže plnohodnotně zhodnotit sledovaná kritéria ve spolupráci s orgány MAS, jednotlivými žadateli/příjemci. </w:t>
      </w:r>
      <w:r w:rsidRPr="00492474">
        <w:rPr>
          <w:lang w:eastAsia="cs-CZ"/>
        </w:rPr>
        <w:t xml:space="preserve">Zapracování výsledků hodnocení do </w:t>
      </w:r>
      <w:r>
        <w:rPr>
          <w:lang w:eastAsia="cs-CZ"/>
        </w:rPr>
        <w:t>strategie</w:t>
      </w:r>
      <w:r w:rsidRPr="00492474">
        <w:rPr>
          <w:lang w:eastAsia="cs-CZ"/>
        </w:rPr>
        <w:t xml:space="preserve"> </w:t>
      </w:r>
      <w:r>
        <w:rPr>
          <w:lang w:eastAsia="cs-CZ"/>
        </w:rPr>
        <w:t>akceptuje</w:t>
      </w:r>
      <w:r w:rsidRPr="00492474">
        <w:rPr>
          <w:lang w:eastAsia="cs-CZ"/>
        </w:rPr>
        <w:t xml:space="preserve"> pravidla </w:t>
      </w:r>
      <w:r>
        <w:rPr>
          <w:lang w:eastAsia="cs-CZ"/>
        </w:rPr>
        <w:t>Operačních programů</w:t>
      </w:r>
      <w:r w:rsidRPr="00492474">
        <w:rPr>
          <w:lang w:eastAsia="cs-CZ"/>
        </w:rPr>
        <w:t xml:space="preserve">. V souvislosti s hodnocením činnosti MAS bude prováděna, budou-li to výsledky hodnocení doporučovat, aktualizace </w:t>
      </w:r>
      <w:r>
        <w:rPr>
          <w:lang w:eastAsia="cs-CZ"/>
        </w:rPr>
        <w:t>strategie, jak v oblasti cílů, podporovaných oblastí</w:t>
      </w:r>
      <w:r w:rsidRPr="00492474">
        <w:rPr>
          <w:lang w:eastAsia="cs-CZ"/>
        </w:rPr>
        <w:t xml:space="preserve">, tak nastavení administrativních procesů. Aktualizace </w:t>
      </w:r>
      <w:r>
        <w:rPr>
          <w:lang w:eastAsia="cs-CZ"/>
        </w:rPr>
        <w:t>strategie</w:t>
      </w:r>
      <w:r w:rsidRPr="00492474">
        <w:rPr>
          <w:lang w:eastAsia="cs-CZ"/>
        </w:rPr>
        <w:t xml:space="preserve"> musí probíhat tak, aby nedošlo ke změně podmínek a pravidel v právě probíhající výzvě či procesu hodnocení a výběru projektů. Aktualizace bude platit vždy pro výzvu, která bude teprve vyhlášena.</w:t>
      </w:r>
    </w:p>
    <w:p w:rsidR="00A92273" w:rsidRPr="00492474" w:rsidRDefault="00A92273" w:rsidP="00A92273">
      <w:pPr>
        <w:rPr>
          <w:lang w:eastAsia="cs-CZ"/>
        </w:rPr>
      </w:pPr>
    </w:p>
    <w:p w:rsidR="00A92273" w:rsidRPr="00492474" w:rsidRDefault="00A92273" w:rsidP="00A92273">
      <w:pPr>
        <w:rPr>
          <w:rFonts w:eastAsia="TimesNewRomanPSMT"/>
        </w:rPr>
      </w:pPr>
    </w:p>
    <w:p w:rsidR="00A92273" w:rsidRPr="00352367" w:rsidRDefault="00A92273" w:rsidP="00A92273">
      <w:pPr>
        <w:rPr>
          <w:rFonts w:eastAsia="TimesNewRomanPSMT"/>
          <w:b/>
        </w:rPr>
      </w:pPr>
      <w:r w:rsidRPr="00352367">
        <w:rPr>
          <w:rFonts w:eastAsia="SymbolMT"/>
          <w:b/>
        </w:rPr>
        <w:t>Z</w:t>
      </w:r>
      <w:r w:rsidRPr="00352367">
        <w:rPr>
          <w:rFonts w:eastAsia="TimesNewRomanPSMT"/>
          <w:b/>
        </w:rPr>
        <w:t xml:space="preserve">působy zveřejňování výsledků </w:t>
      </w:r>
      <w:r>
        <w:rPr>
          <w:rFonts w:eastAsia="TimesNewRomanPSMT"/>
          <w:b/>
        </w:rPr>
        <w:t>strategie</w:t>
      </w:r>
      <w:r w:rsidRPr="00352367">
        <w:rPr>
          <w:rFonts w:eastAsia="TimesNewRomanPSMT"/>
          <w:b/>
        </w:rPr>
        <w:t xml:space="preserve"> a vyhodnocování</w:t>
      </w:r>
    </w:p>
    <w:p w:rsidR="00A92273" w:rsidRPr="00492474" w:rsidRDefault="00A92273" w:rsidP="00A92273">
      <w:pPr>
        <w:rPr>
          <w:rFonts w:eastAsia="TimesNewRomanPSMT"/>
        </w:rPr>
      </w:pPr>
      <w:r w:rsidRPr="00492474">
        <w:rPr>
          <w:rFonts w:eastAsia="TimesNewRomanPSMT"/>
        </w:rPr>
        <w:lastRenderedPageBreak/>
        <w:t xml:space="preserve">Výsledky evaluace </w:t>
      </w:r>
      <w:r>
        <w:rPr>
          <w:rFonts w:eastAsia="TimesNewRomanPSMT"/>
        </w:rPr>
        <w:t>strategie</w:t>
      </w:r>
      <w:r w:rsidRPr="00492474">
        <w:rPr>
          <w:rFonts w:eastAsia="TimesNewRomanPSMT"/>
        </w:rPr>
        <w:t xml:space="preserve"> budou uveřejněny na internetových stránkách MAS Litomyšlsko a v případě zajímavých výstupů pro širší veřejnost také v místním tisku a ve veřejných vývěskách jednotlivých obcí v působnosti MAS. Výsledky evaluace MAS budou zasílány všem členům orgánů MAS a jednotlivým subjektům v působnosti MAS. Výsledky evaluace budou pro zájemce k dispozic</w:t>
      </w:r>
      <w:r>
        <w:rPr>
          <w:rFonts w:eastAsia="TimesNewRomanPSMT"/>
        </w:rPr>
        <w:t>i</w:t>
      </w:r>
      <w:r w:rsidRPr="00492474">
        <w:rPr>
          <w:rFonts w:eastAsia="TimesNewRomanPSMT"/>
        </w:rPr>
        <w:t xml:space="preserve"> v sídle MAS. Zpráva o hodnocení a výsledky hodnocení budou součástí Výroční zprávy MAS.</w:t>
      </w:r>
    </w:p>
    <w:p w:rsidR="00A92273" w:rsidRPr="00522367" w:rsidRDefault="00A92273" w:rsidP="00A92273">
      <w:pPr>
        <w:pStyle w:val="Nadpis3"/>
      </w:pPr>
      <w:bookmarkStart w:id="99" w:name="_Toc406672105"/>
      <w:bookmarkStart w:id="100" w:name="_Toc430006558"/>
      <w:r>
        <w:t>Oběh účetních dokladů v organizaci</w:t>
      </w:r>
      <w:bookmarkEnd w:id="99"/>
      <w:bookmarkEnd w:id="100"/>
    </w:p>
    <w:p w:rsidR="00A92273" w:rsidRPr="00892822" w:rsidRDefault="00A92273" w:rsidP="00A92273">
      <w:pPr>
        <w:rPr>
          <w:lang w:eastAsia="cs-CZ"/>
        </w:rPr>
      </w:pPr>
    </w:p>
    <w:p w:rsidR="00A92273" w:rsidRDefault="00A92273" w:rsidP="00A92273">
      <w:pPr>
        <w:rPr>
          <w:rFonts w:eastAsia="TimesNewRomanPSMT"/>
        </w:rPr>
      </w:pPr>
      <w:r>
        <w:rPr>
          <w:rFonts w:eastAsia="TimesNewRomanPSMT"/>
        </w:rPr>
        <w:t>Všechny přijaté doklady – účetní doklady musí být schváleny statutárním orgánem společnosti – ředitelem společnosti.</w:t>
      </w:r>
    </w:p>
    <w:p w:rsidR="00A92273" w:rsidRDefault="00A92273" w:rsidP="00A92273">
      <w:pPr>
        <w:rPr>
          <w:rFonts w:eastAsia="TimesNewRomanPSMT"/>
        </w:rPr>
      </w:pPr>
      <w:r>
        <w:rPr>
          <w:rFonts w:eastAsia="TimesNewRomanPSMT"/>
        </w:rPr>
        <w:t>Ředitel společnosti zkontroluje správnost dokladu na základě identifikačních údajů jednotlivého dokladu: soulad s objednávkou, číslo dokladu, číslo variabilního symbolu, částka s DPH, předmět, identifikační údaje dodavatele a příjemce.</w:t>
      </w:r>
    </w:p>
    <w:p w:rsidR="00A92273" w:rsidRDefault="00A92273" w:rsidP="00A92273">
      <w:pPr>
        <w:rPr>
          <w:rFonts w:eastAsia="TimesNewRomanPSMT"/>
        </w:rPr>
      </w:pPr>
      <w:r>
        <w:rPr>
          <w:rFonts w:eastAsia="TimesNewRomanPSMT"/>
        </w:rPr>
        <w:t xml:space="preserve">Správnost dokumentu potvrdí ředitel parafou na účetní doklad. </w:t>
      </w:r>
    </w:p>
    <w:p w:rsidR="00A92273" w:rsidRDefault="00A92273" w:rsidP="00A92273">
      <w:pPr>
        <w:rPr>
          <w:rFonts w:eastAsia="TimesNewRomanPSMT"/>
        </w:rPr>
      </w:pPr>
      <w:r>
        <w:rPr>
          <w:rFonts w:eastAsia="TimesNewRomanPSMT"/>
        </w:rPr>
        <w:t>Proplacení hotovostních plateb - dokumentů probíhá formou proplacení z pokladny, která je v kanceláři MAS Litomyšlsko v uzamykatelné skříni. Proplacení provádí manažer MAS Litomyšlsko, který má klíč od pokladny a doklad parafuje. Vystaví potvrzení o zaplacení, zaeviduje doklad do pokladní knihy a předá k zpracování účetní jednotce.</w:t>
      </w:r>
    </w:p>
    <w:p w:rsidR="00A92273" w:rsidRDefault="00A92273" w:rsidP="00A92273">
      <w:pPr>
        <w:rPr>
          <w:rFonts w:eastAsia="TimesNewRomanPSMT"/>
        </w:rPr>
      </w:pPr>
      <w:r>
        <w:rPr>
          <w:rFonts w:eastAsia="TimesNewRomanPSMT"/>
        </w:rPr>
        <w:t xml:space="preserve">V případě, že se jedná o bezhotovostní platbu, ředitel potvrdí správnost dokumentu svou parafou a dostupnou formou proplatí doklad z účtu společnosti. Následně dokument předá účetní jednotce ke okamžitému zpracování. </w:t>
      </w:r>
    </w:p>
    <w:p w:rsidR="00A92273" w:rsidRDefault="00A92273" w:rsidP="00A92273">
      <w:pPr>
        <w:rPr>
          <w:rFonts w:eastAsia="TimesNewRomanPSMT"/>
        </w:rPr>
      </w:pPr>
      <w:r>
        <w:rPr>
          <w:rFonts w:eastAsia="TimesNewRomanPSMT"/>
        </w:rPr>
        <w:t xml:space="preserve">Účetní jednotka doklad zaúčtuje dle platných zákonů a norem, vystaví doklad o zaúčtování a potvrdí svým podpisem správnost zaúčtování. Statutární orgán společnosti taktéž potvrdí svým podpisem souhlas se zaúčtováním. </w:t>
      </w:r>
    </w:p>
    <w:p w:rsidR="00A92273" w:rsidRDefault="00A92273" w:rsidP="00A92273">
      <w:pPr>
        <w:rPr>
          <w:rFonts w:eastAsia="TimesNewRomanPSMT"/>
        </w:rPr>
      </w:pPr>
      <w:r>
        <w:rPr>
          <w:rFonts w:eastAsia="TimesNewRomanPSMT"/>
        </w:rPr>
        <w:t>Za platbu, správnost zaplacení a správné rozřazení do jednotlivých středisek účetní jednotky zodpovídá ředitel MAS.</w:t>
      </w:r>
    </w:p>
    <w:p w:rsidR="00A92273" w:rsidRDefault="00A92273" w:rsidP="00A92273">
      <w:pPr>
        <w:rPr>
          <w:rFonts w:eastAsia="TimesNewRomanPSMT"/>
        </w:rPr>
      </w:pPr>
      <w:r>
        <w:rPr>
          <w:rFonts w:eastAsia="TimesNewRomanPSMT"/>
        </w:rPr>
        <w:t xml:space="preserve">Za správné zaúčtování a následné další účetní postupy zodpovídá účetní jednotka MAS. </w:t>
      </w:r>
    </w:p>
    <w:p w:rsidR="00A92273" w:rsidRDefault="00A92273" w:rsidP="00A92273">
      <w:pPr>
        <w:rPr>
          <w:rFonts w:eastAsia="TimesNewRomanPSMT"/>
        </w:rPr>
      </w:pPr>
      <w:r>
        <w:rPr>
          <w:rFonts w:eastAsia="TimesNewRomanPSMT"/>
        </w:rPr>
        <w:t>Originální dokumenty jsou uloženy u účetní jednotky.</w:t>
      </w:r>
    </w:p>
    <w:p w:rsidR="00A92273" w:rsidRDefault="00A92273" w:rsidP="00A92273">
      <w:pPr>
        <w:rPr>
          <w:rFonts w:eastAsia="TimesNewRomanPSMT"/>
        </w:rPr>
      </w:pPr>
      <w:r>
        <w:rPr>
          <w:rFonts w:eastAsia="TimesNewRomanPSMT"/>
        </w:rPr>
        <w:lastRenderedPageBreak/>
        <w:t>Administrativní pracovník MAS vytvoří 2 kopie z každého dokladu a založí pro potřeby kanceláře a dotačních titulů.</w:t>
      </w:r>
    </w:p>
    <w:p w:rsidR="00A92273" w:rsidRDefault="00A92273" w:rsidP="00A92273">
      <w:pPr>
        <w:rPr>
          <w:rFonts w:eastAsia="TimesNewRomanPSMT"/>
        </w:rPr>
      </w:pPr>
      <w:r>
        <w:rPr>
          <w:rFonts w:eastAsia="TimesNewRomanPSMT"/>
        </w:rPr>
        <w:t>Všechny dokumenty jsou uloženy v uzamykatelných skříních.</w:t>
      </w:r>
    </w:p>
    <w:p w:rsidR="00A92273" w:rsidRDefault="00A92273" w:rsidP="00A92273">
      <w:pPr>
        <w:rPr>
          <w:rFonts w:eastAsia="TimesNewRomanPSMT"/>
        </w:rPr>
      </w:pPr>
      <w:r>
        <w:rPr>
          <w:rFonts w:eastAsia="TimesNewRomanPSMT"/>
        </w:rPr>
        <w:t xml:space="preserve">Dokumentům má přístup ředitel, manažer, účetní jednotka, správní rada a ostatní jednotky na základě souhlasu ředitele MAS. </w:t>
      </w:r>
    </w:p>
    <w:p w:rsidR="00A92273" w:rsidRDefault="00A92273" w:rsidP="00A92273">
      <w:pPr>
        <w:pStyle w:val="Nadpis3"/>
      </w:pPr>
      <w:bookmarkStart w:id="101" w:name="_Toc406672106"/>
      <w:bookmarkStart w:id="102" w:name="_Toc430006559"/>
      <w:r w:rsidRPr="00F45E9E">
        <w:t>Pracovní skupina MAS Litomyšlsko</w:t>
      </w:r>
      <w:bookmarkEnd w:id="101"/>
      <w:bookmarkEnd w:id="102"/>
    </w:p>
    <w:p w:rsidR="00A92273" w:rsidRPr="00A545F5" w:rsidRDefault="00A92273" w:rsidP="00A92273"/>
    <w:p w:rsidR="00A92273" w:rsidRDefault="00A92273" w:rsidP="00A60AC9">
      <w:pPr>
        <w:pStyle w:val="Odstavecseseznamem"/>
        <w:numPr>
          <w:ilvl w:val="0"/>
          <w:numId w:val="70"/>
        </w:numPr>
        <w:spacing w:after="0"/>
        <w:contextualSpacing/>
        <w:jc w:val="center"/>
        <w:rPr>
          <w:b/>
        </w:rPr>
      </w:pPr>
      <w:r w:rsidRPr="00C87A93">
        <w:rPr>
          <w:b/>
        </w:rPr>
        <w:t>Všeobecné podmínky zřízení Pracovní skupiny</w:t>
      </w:r>
    </w:p>
    <w:p w:rsidR="00A92273" w:rsidRPr="00C87A93" w:rsidRDefault="00A92273" w:rsidP="00A92273">
      <w:pPr>
        <w:pStyle w:val="Odstavecseseznamem"/>
        <w:ind w:left="1080"/>
        <w:rPr>
          <w:b/>
        </w:rPr>
      </w:pPr>
    </w:p>
    <w:p w:rsidR="00A92273" w:rsidRDefault="00A92273" w:rsidP="00A60AC9">
      <w:pPr>
        <w:pStyle w:val="Odstavecseseznamem"/>
        <w:numPr>
          <w:ilvl w:val="0"/>
          <w:numId w:val="71"/>
        </w:numPr>
        <w:spacing w:after="0"/>
        <w:contextualSpacing/>
      </w:pPr>
      <w:r>
        <w:t>MAS Litomyšlsko má ve své činnosti možnost využívat činnosti PRACOVNÍCH SKUPIN (dále jen PS).</w:t>
      </w:r>
    </w:p>
    <w:p w:rsidR="00A92273" w:rsidRDefault="00A92273" w:rsidP="00A92273"/>
    <w:p w:rsidR="00A92273" w:rsidRDefault="00A92273" w:rsidP="00A60AC9">
      <w:pPr>
        <w:pStyle w:val="Odstavecseseznamem"/>
        <w:numPr>
          <w:ilvl w:val="0"/>
          <w:numId w:val="71"/>
        </w:numPr>
        <w:spacing w:after="0"/>
        <w:contextualSpacing/>
      </w:pPr>
      <w:r>
        <w:t>Funkce PS spočívá v aktivizaci dobrovolníků z řad obyvatel regionu MAS Litomyšlsko.</w:t>
      </w:r>
    </w:p>
    <w:p w:rsidR="00A92273" w:rsidRDefault="00A92273" w:rsidP="00A92273"/>
    <w:p w:rsidR="00A92273" w:rsidRDefault="00A92273" w:rsidP="00A60AC9">
      <w:pPr>
        <w:pStyle w:val="Odstavecseseznamem"/>
        <w:numPr>
          <w:ilvl w:val="0"/>
          <w:numId w:val="71"/>
        </w:numPr>
        <w:spacing w:after="0"/>
        <w:contextualSpacing/>
      </w:pPr>
      <w:r>
        <w:t xml:space="preserve">PS jsou zakládané a fungují za účelem naplňování myšlenky LEADER, zkvalitňování života na venkově. Hlavní činnost spočívá v navrhování, připomínkování, organizace a realizace projektů či cílů, které povedou ke zlepšení života v regionu. </w:t>
      </w:r>
    </w:p>
    <w:p w:rsidR="00A92273" w:rsidRDefault="00A92273" w:rsidP="00A92273"/>
    <w:p w:rsidR="00A92273" w:rsidRDefault="00A92273" w:rsidP="00A60AC9">
      <w:pPr>
        <w:pStyle w:val="Odstavecseseznamem"/>
        <w:numPr>
          <w:ilvl w:val="0"/>
          <w:numId w:val="71"/>
        </w:numPr>
        <w:spacing w:after="0"/>
        <w:contextualSpacing/>
      </w:pPr>
      <w:r>
        <w:t>MAS Litomyšlsko může zakládat neomezený počet PS.</w:t>
      </w:r>
    </w:p>
    <w:p w:rsidR="00A92273" w:rsidRDefault="00A92273" w:rsidP="00A92273"/>
    <w:p w:rsidR="00A92273" w:rsidRDefault="00A92273" w:rsidP="00A60AC9">
      <w:pPr>
        <w:pStyle w:val="Odstavecseseznamem"/>
        <w:numPr>
          <w:ilvl w:val="0"/>
          <w:numId w:val="71"/>
        </w:numPr>
        <w:spacing w:after="0"/>
        <w:contextualSpacing/>
      </w:pPr>
      <w:r>
        <w:t xml:space="preserve">PS může být zřízena na pokyn ředitele společnosti nebo orgánů společnosti. Návrhy na vytvoření PS mohou překládat obyvatelé regionu MAS na kanceláři MAS. </w:t>
      </w:r>
    </w:p>
    <w:p w:rsidR="00A92273" w:rsidRDefault="00A92273" w:rsidP="00A92273">
      <w:pPr>
        <w:pStyle w:val="Odstavecseseznamem"/>
      </w:pPr>
    </w:p>
    <w:p w:rsidR="00A92273" w:rsidRDefault="00A92273" w:rsidP="00A60AC9">
      <w:pPr>
        <w:pStyle w:val="Odstavecseseznamem"/>
        <w:numPr>
          <w:ilvl w:val="0"/>
          <w:numId w:val="71"/>
        </w:numPr>
        <w:spacing w:after="0"/>
        <w:contextualSpacing/>
      </w:pPr>
      <w:r>
        <w:t xml:space="preserve">PS obsahuje min 3 členy z řad obyvatel regionu + 1 pracovník MAS. </w:t>
      </w:r>
    </w:p>
    <w:p w:rsidR="00A92273" w:rsidRDefault="00A92273" w:rsidP="00A92273"/>
    <w:p w:rsidR="00A92273" w:rsidRDefault="00A92273" w:rsidP="00A60AC9">
      <w:pPr>
        <w:pStyle w:val="Odstavecseseznamem"/>
        <w:numPr>
          <w:ilvl w:val="0"/>
          <w:numId w:val="70"/>
        </w:numPr>
        <w:spacing w:after="0"/>
        <w:contextualSpacing/>
        <w:jc w:val="center"/>
        <w:rPr>
          <w:b/>
        </w:rPr>
      </w:pPr>
      <w:r w:rsidRPr="00C87A93">
        <w:rPr>
          <w:b/>
        </w:rPr>
        <w:t>Podmínky členství</w:t>
      </w:r>
    </w:p>
    <w:p w:rsidR="00A92273" w:rsidRPr="00C87A93" w:rsidRDefault="00A92273" w:rsidP="00A92273"/>
    <w:p w:rsidR="00A92273" w:rsidRDefault="00A92273" w:rsidP="00A60AC9">
      <w:pPr>
        <w:pStyle w:val="Odstavecseseznamem"/>
        <w:numPr>
          <w:ilvl w:val="0"/>
          <w:numId w:val="72"/>
        </w:numPr>
        <w:spacing w:after="0"/>
        <w:contextualSpacing/>
      </w:pPr>
      <w:r>
        <w:t>Členem PS se může stát obyvatel regionu MAS Litomyšlsko bez výhrad.</w:t>
      </w:r>
    </w:p>
    <w:p w:rsidR="00A92273" w:rsidRDefault="00A92273" w:rsidP="00A92273"/>
    <w:p w:rsidR="00A92273" w:rsidRDefault="00A92273" w:rsidP="00A60AC9">
      <w:pPr>
        <w:pStyle w:val="Odstavecseseznamem"/>
        <w:numPr>
          <w:ilvl w:val="0"/>
          <w:numId w:val="72"/>
        </w:numPr>
        <w:spacing w:after="0"/>
        <w:contextualSpacing/>
      </w:pPr>
      <w:r>
        <w:t>Členem se může stát i člen orgánů MAS Litomyšlsko.</w:t>
      </w:r>
    </w:p>
    <w:p w:rsidR="00A92273" w:rsidRDefault="00A92273" w:rsidP="00A92273"/>
    <w:p w:rsidR="00A92273" w:rsidRDefault="00A92273" w:rsidP="00A60AC9">
      <w:pPr>
        <w:pStyle w:val="Odstavecseseznamem"/>
        <w:numPr>
          <w:ilvl w:val="0"/>
          <w:numId w:val="72"/>
        </w:numPr>
        <w:spacing w:after="0"/>
        <w:contextualSpacing/>
      </w:pPr>
      <w:r>
        <w:t>Členství je bezplatné, dobrovolné, bez nároku na odměnu.</w:t>
      </w:r>
    </w:p>
    <w:p w:rsidR="00A92273" w:rsidRDefault="00A92273" w:rsidP="00A92273"/>
    <w:p w:rsidR="00A92273" w:rsidRDefault="00A92273" w:rsidP="00A60AC9">
      <w:pPr>
        <w:pStyle w:val="Odstavecseseznamem"/>
        <w:numPr>
          <w:ilvl w:val="0"/>
          <w:numId w:val="72"/>
        </w:numPr>
        <w:spacing w:after="0"/>
        <w:contextualSpacing/>
      </w:pPr>
      <w:r>
        <w:t>Člen není zavázán smlouvou k PS.</w:t>
      </w:r>
    </w:p>
    <w:p w:rsidR="00A92273" w:rsidRDefault="00A92273" w:rsidP="00A92273"/>
    <w:p w:rsidR="00A92273" w:rsidRDefault="00A92273" w:rsidP="00A60AC9">
      <w:pPr>
        <w:pStyle w:val="Odstavecseseznamem"/>
        <w:numPr>
          <w:ilvl w:val="0"/>
          <w:numId w:val="72"/>
        </w:numPr>
        <w:spacing w:after="0"/>
        <w:contextualSpacing/>
      </w:pPr>
      <w:r>
        <w:t>Všichni členové jsou si rovni.</w:t>
      </w:r>
    </w:p>
    <w:p w:rsidR="00A92273" w:rsidRDefault="00A92273" w:rsidP="00A92273"/>
    <w:p w:rsidR="00A92273" w:rsidRDefault="00A92273" w:rsidP="00A60AC9">
      <w:pPr>
        <w:pStyle w:val="Odstavecseseznamem"/>
        <w:numPr>
          <w:ilvl w:val="0"/>
          <w:numId w:val="72"/>
        </w:numPr>
        <w:spacing w:after="0"/>
        <w:contextualSpacing/>
      </w:pPr>
      <w:r>
        <w:t>PS vede pracovník kanceláře MAS</w:t>
      </w:r>
    </w:p>
    <w:p w:rsidR="00A92273" w:rsidRDefault="00A92273" w:rsidP="00A92273">
      <w:pPr>
        <w:pStyle w:val="Odstavecseseznamem"/>
      </w:pPr>
    </w:p>
    <w:p w:rsidR="00A92273" w:rsidRDefault="00A92273" w:rsidP="00A60AC9">
      <w:pPr>
        <w:pStyle w:val="Odstavecseseznamem"/>
        <w:numPr>
          <w:ilvl w:val="0"/>
          <w:numId w:val="72"/>
        </w:numPr>
        <w:spacing w:after="0"/>
        <w:contextualSpacing/>
      </w:pPr>
      <w:r>
        <w:t>Členství vzniká a zaniká ohlášením této skutečnosti kanceláři MAS písemně, e-mailem</w:t>
      </w:r>
    </w:p>
    <w:p w:rsidR="00A92273" w:rsidRDefault="00A92273" w:rsidP="00A92273">
      <w:pPr>
        <w:pStyle w:val="Odstavecseseznamem"/>
      </w:pPr>
    </w:p>
    <w:p w:rsidR="00A92273" w:rsidRDefault="00A92273" w:rsidP="00A60AC9">
      <w:pPr>
        <w:pStyle w:val="Odstavecseseznamem"/>
        <w:numPr>
          <w:ilvl w:val="0"/>
          <w:numId w:val="72"/>
        </w:numPr>
        <w:spacing w:after="0"/>
        <w:contextualSpacing/>
      </w:pPr>
      <w:r>
        <w:t xml:space="preserve">Člen souhlasí s dodržováním směrnic a se zveřejněním osobních údajů (jméno a příjmení) za účelem propagace MAS Litomyšlsko </w:t>
      </w:r>
    </w:p>
    <w:p w:rsidR="00A92273" w:rsidRDefault="00A92273" w:rsidP="00A92273">
      <w:pPr>
        <w:pStyle w:val="Odstavecseseznamem"/>
      </w:pPr>
    </w:p>
    <w:p w:rsidR="00A92273" w:rsidRDefault="00A92273" w:rsidP="00A92273"/>
    <w:p w:rsidR="00A92273" w:rsidRPr="00BD72BA" w:rsidRDefault="00A92273" w:rsidP="00A60AC9">
      <w:pPr>
        <w:pStyle w:val="Odstavecseseznamem"/>
        <w:numPr>
          <w:ilvl w:val="0"/>
          <w:numId w:val="70"/>
        </w:numPr>
        <w:spacing w:after="0"/>
        <w:contextualSpacing/>
        <w:jc w:val="center"/>
        <w:rPr>
          <w:b/>
        </w:rPr>
      </w:pPr>
      <w:r w:rsidRPr="00BD72BA">
        <w:rPr>
          <w:b/>
        </w:rPr>
        <w:t>Činnost Pracovní skupiny</w:t>
      </w:r>
    </w:p>
    <w:p w:rsidR="00A92273" w:rsidRDefault="00A92273" w:rsidP="00A92273"/>
    <w:p w:rsidR="00A92273" w:rsidRDefault="00A92273" w:rsidP="00A92273"/>
    <w:p w:rsidR="00A92273" w:rsidRDefault="00A92273" w:rsidP="00A60AC9">
      <w:pPr>
        <w:pStyle w:val="Odstavecseseznamem"/>
        <w:numPr>
          <w:ilvl w:val="0"/>
          <w:numId w:val="73"/>
        </w:numPr>
        <w:spacing w:after="0"/>
        <w:contextualSpacing/>
      </w:pPr>
      <w:r>
        <w:t>PS se svolává jen za účelem, ke kterému byla vytvořena.</w:t>
      </w:r>
    </w:p>
    <w:p w:rsidR="00A92273" w:rsidRDefault="00A92273" w:rsidP="00A92273"/>
    <w:p w:rsidR="00A92273" w:rsidRDefault="00A92273" w:rsidP="00A60AC9">
      <w:pPr>
        <w:pStyle w:val="Odstavecseseznamem"/>
        <w:numPr>
          <w:ilvl w:val="0"/>
          <w:numId w:val="73"/>
        </w:numPr>
        <w:spacing w:after="0"/>
        <w:contextualSpacing/>
      </w:pPr>
      <w:r>
        <w:t>PS není podmíněna počtem jednání za jeden kalendářní rok.</w:t>
      </w:r>
    </w:p>
    <w:p w:rsidR="00A92273" w:rsidRDefault="00A92273" w:rsidP="00A92273"/>
    <w:p w:rsidR="00A92273" w:rsidRDefault="00A92273" w:rsidP="00A60AC9">
      <w:pPr>
        <w:pStyle w:val="Odstavecseseznamem"/>
        <w:numPr>
          <w:ilvl w:val="0"/>
          <w:numId w:val="73"/>
        </w:numPr>
        <w:spacing w:after="0"/>
        <w:contextualSpacing/>
      </w:pPr>
      <w:r>
        <w:t>Doklad o činnosti PS je prezenční listina a zápis z jednání případně fotodokumentace.</w:t>
      </w:r>
    </w:p>
    <w:p w:rsidR="00A92273" w:rsidRDefault="00A92273" w:rsidP="00A92273"/>
    <w:p w:rsidR="00A92273" w:rsidRDefault="00A92273" w:rsidP="00A60AC9">
      <w:pPr>
        <w:pStyle w:val="Odstavecseseznamem"/>
        <w:numPr>
          <w:ilvl w:val="0"/>
          <w:numId w:val="73"/>
        </w:numPr>
        <w:spacing w:after="0"/>
        <w:contextualSpacing/>
      </w:pPr>
      <w:r>
        <w:t>V případě rozhodnutí členů PS rozhoduje nadpoloviční většina přítomných členů. V případě shody hlasů rozhoduje stanovisko Správní rady MAS.</w:t>
      </w:r>
    </w:p>
    <w:p w:rsidR="00A92273" w:rsidRDefault="00A92273" w:rsidP="00A92273">
      <w:pPr>
        <w:pStyle w:val="Odstavecseseznamem"/>
      </w:pPr>
    </w:p>
    <w:p w:rsidR="00A92273" w:rsidRDefault="00A92273" w:rsidP="00A92273">
      <w:pPr>
        <w:pStyle w:val="Odstavecseseznamem"/>
      </w:pPr>
    </w:p>
    <w:p w:rsidR="00A92273" w:rsidRPr="00BD72BA" w:rsidRDefault="00A92273" w:rsidP="00A60AC9">
      <w:pPr>
        <w:pStyle w:val="Odstavecseseznamem"/>
        <w:numPr>
          <w:ilvl w:val="0"/>
          <w:numId w:val="70"/>
        </w:numPr>
        <w:spacing w:after="0"/>
        <w:contextualSpacing/>
        <w:jc w:val="center"/>
        <w:rPr>
          <w:b/>
        </w:rPr>
      </w:pPr>
      <w:r w:rsidRPr="00BD72BA">
        <w:rPr>
          <w:b/>
        </w:rPr>
        <w:t>Zánik Pracovní skupiny</w:t>
      </w:r>
    </w:p>
    <w:p w:rsidR="00A92273" w:rsidRDefault="00A92273" w:rsidP="00A92273">
      <w:pPr>
        <w:jc w:val="center"/>
      </w:pPr>
    </w:p>
    <w:p w:rsidR="00A92273" w:rsidRDefault="00A92273" w:rsidP="00A60AC9">
      <w:pPr>
        <w:pStyle w:val="Odstavecseseznamem"/>
        <w:numPr>
          <w:ilvl w:val="0"/>
          <w:numId w:val="74"/>
        </w:numPr>
        <w:spacing w:after="0"/>
        <w:contextualSpacing/>
      </w:pPr>
      <w:r>
        <w:t>PS zaniká v případě, že nebylo možné v případě potřeby 2x za sebou svolat jednání.</w:t>
      </w:r>
    </w:p>
    <w:p w:rsidR="00A92273" w:rsidRDefault="00A92273" w:rsidP="00A92273"/>
    <w:p w:rsidR="00A92273" w:rsidRDefault="00A92273" w:rsidP="00A60AC9">
      <w:pPr>
        <w:pStyle w:val="Odstavecseseznamem"/>
        <w:numPr>
          <w:ilvl w:val="0"/>
          <w:numId w:val="74"/>
        </w:numPr>
        <w:spacing w:after="0"/>
        <w:contextualSpacing/>
      </w:pPr>
      <w:r>
        <w:t>PS zaniká v případě, že v období 2 roky od posledního jednání nebyla PS využita a nebyl důvod PS svolat.</w:t>
      </w:r>
    </w:p>
    <w:p w:rsidR="00A92273" w:rsidRDefault="00A92273" w:rsidP="00A92273"/>
    <w:p w:rsidR="00A92273" w:rsidRDefault="00A92273" w:rsidP="00A60AC9">
      <w:pPr>
        <w:pStyle w:val="Odstavecseseznamem"/>
        <w:numPr>
          <w:ilvl w:val="0"/>
          <w:numId w:val="74"/>
        </w:numPr>
        <w:spacing w:after="0"/>
        <w:contextualSpacing/>
      </w:pPr>
      <w:r>
        <w:t>Vždy je možné činnost PS obnovit sestavením nových členů.</w:t>
      </w:r>
    </w:p>
    <w:p w:rsidR="00A92273" w:rsidRDefault="00A92273" w:rsidP="00A92273">
      <w:pPr>
        <w:spacing w:after="0"/>
        <w:contextualSpacing/>
      </w:pPr>
    </w:p>
    <w:p w:rsidR="0086725D" w:rsidRDefault="00A92273" w:rsidP="00A60AC9">
      <w:pPr>
        <w:pStyle w:val="Odstavecseseznamem"/>
        <w:numPr>
          <w:ilvl w:val="0"/>
          <w:numId w:val="74"/>
        </w:numPr>
        <w:spacing w:after="0"/>
        <w:contextualSpacing/>
      </w:pPr>
      <w:r>
        <w:t>Průkazným materiálem činnosti PS je vždy prezenční listina a zápis z jednání.</w:t>
      </w:r>
      <w:r w:rsidR="00B50E8D">
        <w:t>Povinné přílohy</w:t>
      </w:r>
    </w:p>
    <w:p w:rsidR="000A74F1" w:rsidRDefault="000A74F1" w:rsidP="000A74F1">
      <w:r>
        <w:rPr>
          <w:lang w:eastAsia="cs-CZ"/>
        </w:rPr>
        <w:t>B</w:t>
      </w:r>
      <w:r w:rsidRPr="00414738">
        <w:rPr>
          <w:lang w:eastAsia="cs-CZ"/>
        </w:rPr>
        <w:t xml:space="preserve">ude </w:t>
      </w:r>
      <w:r>
        <w:rPr>
          <w:lang w:eastAsia="cs-CZ"/>
        </w:rPr>
        <w:t>doplněno</w:t>
      </w:r>
      <w:r w:rsidRPr="00414738">
        <w:rPr>
          <w:lang w:eastAsia="cs-CZ"/>
        </w:rPr>
        <w:t xml:space="preserve"> před finalizací strategie</w:t>
      </w:r>
      <w:r>
        <w:rPr>
          <w:lang w:eastAsia="cs-CZ"/>
        </w:rPr>
        <w:t>.</w:t>
      </w:r>
    </w:p>
    <w:p w:rsidR="00A92273" w:rsidRDefault="00A92273" w:rsidP="000A74F1">
      <w:pPr>
        <w:pStyle w:val="Nadpis1"/>
        <w:ind w:left="431" w:hanging="431"/>
      </w:pPr>
      <w:bookmarkStart w:id="103" w:name="_Toc430006560"/>
      <w:r>
        <w:lastRenderedPageBreak/>
        <w:t>Povinné přílohy</w:t>
      </w:r>
      <w:bookmarkEnd w:id="103"/>
    </w:p>
    <w:p w:rsidR="00A92273" w:rsidRDefault="00A92273" w:rsidP="00A92273">
      <w:pPr>
        <w:rPr>
          <w:lang w:eastAsia="cs-CZ"/>
        </w:rPr>
      </w:pPr>
      <w:r>
        <w:rPr>
          <w:lang w:eastAsia="cs-CZ"/>
        </w:rPr>
        <w:t>B</w:t>
      </w:r>
      <w:r w:rsidRPr="00414738">
        <w:rPr>
          <w:lang w:eastAsia="cs-CZ"/>
        </w:rPr>
        <w:t xml:space="preserve">ude </w:t>
      </w:r>
      <w:r>
        <w:rPr>
          <w:lang w:eastAsia="cs-CZ"/>
        </w:rPr>
        <w:t>doplněno</w:t>
      </w:r>
      <w:r w:rsidRPr="00414738">
        <w:rPr>
          <w:lang w:eastAsia="cs-CZ"/>
        </w:rPr>
        <w:t xml:space="preserve"> před finalizací strategie</w:t>
      </w:r>
      <w:r>
        <w:rPr>
          <w:lang w:eastAsia="cs-CZ"/>
        </w:rPr>
        <w:t>.</w:t>
      </w:r>
    </w:p>
    <w:p w:rsidR="00A92273" w:rsidRDefault="00A92273" w:rsidP="00A92273"/>
    <w:p w:rsidR="0086725D" w:rsidRDefault="00B50E8D" w:rsidP="000A74F1">
      <w:pPr>
        <w:pStyle w:val="Nadpis1"/>
        <w:ind w:left="431" w:hanging="431"/>
      </w:pPr>
      <w:bookmarkStart w:id="104" w:name="_Toc430006561"/>
      <w:r>
        <w:lastRenderedPageBreak/>
        <w:t>Nepovinné přílohy</w:t>
      </w:r>
      <w:bookmarkEnd w:id="104"/>
    </w:p>
    <w:p w:rsidR="00B50E8D" w:rsidRDefault="000A74F1" w:rsidP="009F4D7F">
      <w:pPr>
        <w:rPr>
          <w:lang w:eastAsia="cs-CZ"/>
        </w:rPr>
      </w:pPr>
      <w:r>
        <w:rPr>
          <w:lang w:eastAsia="cs-CZ"/>
        </w:rPr>
        <w:t>B</w:t>
      </w:r>
      <w:r w:rsidRPr="00414738">
        <w:rPr>
          <w:lang w:eastAsia="cs-CZ"/>
        </w:rPr>
        <w:t xml:space="preserve">ude </w:t>
      </w:r>
      <w:r>
        <w:rPr>
          <w:lang w:eastAsia="cs-CZ"/>
        </w:rPr>
        <w:t>doplněno</w:t>
      </w:r>
      <w:r w:rsidRPr="00414738">
        <w:rPr>
          <w:lang w:eastAsia="cs-CZ"/>
        </w:rPr>
        <w:t xml:space="preserve"> před finalizací strategie</w:t>
      </w:r>
      <w:r>
        <w:rPr>
          <w:lang w:eastAsia="cs-CZ"/>
        </w:rPr>
        <w:t>.</w:t>
      </w:r>
    </w:p>
    <w:p w:rsidR="005637EB" w:rsidRDefault="005637EB" w:rsidP="009F4D7F">
      <w:pPr>
        <w:rPr>
          <w:lang w:eastAsia="cs-CZ"/>
        </w:rPr>
      </w:pPr>
    </w:p>
    <w:p w:rsidR="005637EB" w:rsidRDefault="005637EB" w:rsidP="005637EB">
      <w:pPr>
        <w:pStyle w:val="Nadpis1"/>
      </w:pPr>
      <w:bookmarkStart w:id="105" w:name="_Toc430006562"/>
      <w:r>
        <w:lastRenderedPageBreak/>
        <w:t>Podklady pro další rozvoj SCLLD</w:t>
      </w:r>
      <w:bookmarkEnd w:id="105"/>
    </w:p>
    <w:p w:rsidR="005637EB" w:rsidRPr="00057925" w:rsidRDefault="005637EB" w:rsidP="005637EB">
      <w:r>
        <w:t xml:space="preserve">Příloha č. 5 IROPu: </w:t>
      </w:r>
      <w:r w:rsidRPr="00057925">
        <w:t>Ú</w:t>
      </w:r>
      <w:r>
        <w:t xml:space="preserve">zemí vymezené pro specifický cíl </w:t>
      </w:r>
      <w:r w:rsidRPr="00057925">
        <w:t xml:space="preserve">1.3  </w:t>
      </w:r>
    </w:p>
    <w:p w:rsidR="005637EB" w:rsidRPr="00057925" w:rsidRDefault="005637EB" w:rsidP="005637EB">
      <w:r w:rsidRPr="00057925">
        <w:t>Seznam obcí s rozšířenou působností (ORP), jejichž správní území je dotčené zvýšenými riziky z mimořádných událostí, způsobených změnou klimatu a haváriemi nebezpečných látek</w:t>
      </w:r>
    </w:p>
    <w:tbl>
      <w:tblPr>
        <w:tblW w:w="5000" w:type="pct"/>
        <w:tblLayout w:type="fixed"/>
        <w:tblCellMar>
          <w:left w:w="70" w:type="dxa"/>
          <w:right w:w="70" w:type="dxa"/>
        </w:tblCellMar>
        <w:tblLook w:val="04A0"/>
      </w:tblPr>
      <w:tblGrid>
        <w:gridCol w:w="2882"/>
        <w:gridCol w:w="2078"/>
        <w:gridCol w:w="1643"/>
        <w:gridCol w:w="1476"/>
        <w:gridCol w:w="1133"/>
      </w:tblGrid>
      <w:tr w:rsidR="005637EB" w:rsidRPr="003C1CF6" w:rsidTr="007845D4">
        <w:trPr>
          <w:trHeight w:val="630"/>
          <w:tblHeader/>
        </w:trPr>
        <w:tc>
          <w:tcPr>
            <w:tcW w:w="5000" w:type="pct"/>
            <w:gridSpan w:val="5"/>
            <w:tcBorders>
              <w:top w:val="single" w:sz="8" w:space="0" w:color="auto"/>
              <w:left w:val="single" w:sz="8" w:space="0" w:color="auto"/>
              <w:bottom w:val="single" w:sz="4" w:space="0" w:color="auto"/>
              <w:right w:val="single" w:sz="8" w:space="0" w:color="000000"/>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Seznam obcí s rozšířenou působností (ORP), jejichž správní území je dotčené zvýšenými riziky z mimořádných událostí, způsobených změnou klimatu a haváriemi nebezpečných látek</w:t>
            </w:r>
          </w:p>
        </w:tc>
      </w:tr>
      <w:tr w:rsidR="005637EB" w:rsidRPr="003C1CF6" w:rsidTr="007845D4">
        <w:trPr>
          <w:trHeight w:val="780"/>
          <w:tblHeader/>
        </w:trPr>
        <w:tc>
          <w:tcPr>
            <w:tcW w:w="1564" w:type="pct"/>
            <w:tcBorders>
              <w:top w:val="nil"/>
              <w:left w:val="single" w:sz="8" w:space="0" w:color="auto"/>
              <w:bottom w:val="single" w:sz="8" w:space="0" w:color="auto"/>
              <w:right w:val="single" w:sz="4" w:space="0" w:color="auto"/>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Název ORP</w:t>
            </w:r>
          </w:p>
        </w:tc>
        <w:tc>
          <w:tcPr>
            <w:tcW w:w="1128" w:type="pct"/>
            <w:tcBorders>
              <w:top w:val="nil"/>
              <w:left w:val="nil"/>
              <w:bottom w:val="single" w:sz="8" w:space="0" w:color="auto"/>
              <w:right w:val="single" w:sz="4" w:space="0" w:color="auto"/>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Sucho</w:t>
            </w:r>
          </w:p>
        </w:tc>
        <w:tc>
          <w:tcPr>
            <w:tcW w:w="892" w:type="pct"/>
            <w:tcBorders>
              <w:top w:val="nil"/>
              <w:left w:val="nil"/>
              <w:bottom w:val="single" w:sz="8" w:space="0" w:color="auto"/>
              <w:right w:val="single" w:sz="4" w:space="0" w:color="auto"/>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Orkány a větrné smrště</w:t>
            </w:r>
          </w:p>
        </w:tc>
        <w:tc>
          <w:tcPr>
            <w:tcW w:w="801" w:type="pct"/>
            <w:tcBorders>
              <w:top w:val="nil"/>
              <w:left w:val="nil"/>
              <w:bottom w:val="single" w:sz="8" w:space="0" w:color="auto"/>
              <w:right w:val="single" w:sz="4" w:space="0" w:color="auto"/>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Sněhové srážky, masivní námrazy</w:t>
            </w:r>
          </w:p>
        </w:tc>
        <w:tc>
          <w:tcPr>
            <w:tcW w:w="615" w:type="pct"/>
            <w:tcBorders>
              <w:top w:val="nil"/>
              <w:left w:val="nil"/>
              <w:bottom w:val="single" w:sz="8" w:space="0" w:color="auto"/>
              <w:right w:val="single" w:sz="8" w:space="0" w:color="auto"/>
            </w:tcBorders>
            <w:shd w:val="clear" w:color="000000" w:fill="EEECE1"/>
            <w:vAlign w:val="center"/>
            <w:hideMark/>
          </w:tcPr>
          <w:p w:rsidR="005637EB" w:rsidRPr="003C1CF6" w:rsidRDefault="005637EB" w:rsidP="00C30FE1">
            <w:pPr>
              <w:spacing w:beforeLines="50" w:afterLines="50"/>
              <w:jc w:val="center"/>
              <w:rPr>
                <w:rFonts w:ascii="Arial" w:hAnsi="Arial" w:cs="Arial"/>
                <w:b/>
                <w:bCs/>
                <w:sz w:val="20"/>
                <w:szCs w:val="20"/>
                <w:lang w:eastAsia="cs-CZ"/>
              </w:rPr>
            </w:pPr>
            <w:r w:rsidRPr="003C1CF6">
              <w:rPr>
                <w:rFonts w:ascii="Arial" w:hAnsi="Arial" w:cs="Arial"/>
                <w:b/>
                <w:bCs/>
                <w:sz w:val="20"/>
                <w:szCs w:val="20"/>
                <w:lang w:eastAsia="cs-CZ"/>
              </w:rPr>
              <w:t>Havárie nebezpečných látek</w:t>
            </w:r>
          </w:p>
        </w:tc>
      </w:tr>
      <w:tr w:rsidR="005637EB" w:rsidRPr="003C1CF6" w:rsidTr="007845D4">
        <w:trPr>
          <w:trHeight w:val="255"/>
        </w:trPr>
        <w:tc>
          <w:tcPr>
            <w:tcW w:w="1564" w:type="pct"/>
            <w:tcBorders>
              <w:top w:val="nil"/>
              <w:left w:val="single" w:sz="8" w:space="0" w:color="auto"/>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Hlinsko</w:t>
            </w:r>
          </w:p>
        </w:tc>
        <w:tc>
          <w:tcPr>
            <w:tcW w:w="1128"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92"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01"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615" w:type="pct"/>
            <w:tcBorders>
              <w:top w:val="nil"/>
              <w:left w:val="nil"/>
              <w:bottom w:val="single" w:sz="4" w:space="0" w:color="auto"/>
              <w:right w:val="single" w:sz="8"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color w:val="000000"/>
                <w:sz w:val="20"/>
                <w:szCs w:val="20"/>
                <w:lang w:eastAsia="cs-CZ"/>
              </w:rPr>
            </w:pPr>
          </w:p>
        </w:tc>
      </w:tr>
      <w:tr w:rsidR="005637EB" w:rsidRPr="003C1CF6" w:rsidTr="007845D4">
        <w:trPr>
          <w:trHeight w:val="255"/>
        </w:trPr>
        <w:tc>
          <w:tcPr>
            <w:tcW w:w="1564" w:type="pct"/>
            <w:tcBorders>
              <w:top w:val="nil"/>
              <w:left w:val="single" w:sz="8" w:space="0" w:color="auto"/>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Chrudim</w:t>
            </w:r>
          </w:p>
        </w:tc>
        <w:tc>
          <w:tcPr>
            <w:tcW w:w="1128"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92"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01"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615" w:type="pct"/>
            <w:tcBorders>
              <w:top w:val="nil"/>
              <w:left w:val="nil"/>
              <w:bottom w:val="single" w:sz="4" w:space="0" w:color="auto"/>
              <w:right w:val="single" w:sz="8"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color w:val="000000"/>
                <w:sz w:val="20"/>
                <w:szCs w:val="20"/>
                <w:lang w:eastAsia="cs-CZ"/>
              </w:rPr>
            </w:pPr>
          </w:p>
        </w:tc>
      </w:tr>
      <w:tr w:rsidR="005637EB" w:rsidRPr="003C1CF6" w:rsidTr="007845D4">
        <w:trPr>
          <w:trHeight w:val="255"/>
        </w:trPr>
        <w:tc>
          <w:tcPr>
            <w:tcW w:w="1564" w:type="pct"/>
            <w:tcBorders>
              <w:top w:val="nil"/>
              <w:left w:val="single" w:sz="8" w:space="0" w:color="auto"/>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Lanškroun</w:t>
            </w:r>
          </w:p>
        </w:tc>
        <w:tc>
          <w:tcPr>
            <w:tcW w:w="1128"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92"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01"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615" w:type="pct"/>
            <w:tcBorders>
              <w:top w:val="nil"/>
              <w:left w:val="nil"/>
              <w:bottom w:val="single" w:sz="4" w:space="0" w:color="auto"/>
              <w:right w:val="single" w:sz="8"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color w:val="000000"/>
                <w:sz w:val="20"/>
                <w:szCs w:val="20"/>
                <w:lang w:eastAsia="cs-CZ"/>
              </w:rPr>
            </w:pPr>
          </w:p>
        </w:tc>
      </w:tr>
      <w:tr w:rsidR="005637EB" w:rsidRPr="003C1CF6" w:rsidTr="007845D4">
        <w:trPr>
          <w:trHeight w:val="255"/>
        </w:trPr>
        <w:tc>
          <w:tcPr>
            <w:tcW w:w="1564" w:type="pct"/>
            <w:tcBorders>
              <w:top w:val="nil"/>
              <w:left w:val="single" w:sz="8" w:space="0" w:color="auto"/>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Litomyšl</w:t>
            </w:r>
          </w:p>
        </w:tc>
        <w:tc>
          <w:tcPr>
            <w:tcW w:w="1128"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92"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01"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615" w:type="pct"/>
            <w:tcBorders>
              <w:top w:val="nil"/>
              <w:left w:val="nil"/>
              <w:bottom w:val="single" w:sz="4" w:space="0" w:color="auto"/>
              <w:right w:val="single" w:sz="8"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color w:val="000000"/>
                <w:sz w:val="20"/>
                <w:szCs w:val="20"/>
                <w:lang w:eastAsia="cs-CZ"/>
              </w:rPr>
            </w:pPr>
          </w:p>
        </w:tc>
      </w:tr>
      <w:tr w:rsidR="005637EB" w:rsidRPr="003C1CF6" w:rsidTr="007845D4">
        <w:trPr>
          <w:trHeight w:val="255"/>
        </w:trPr>
        <w:tc>
          <w:tcPr>
            <w:tcW w:w="1564" w:type="pct"/>
            <w:tcBorders>
              <w:top w:val="nil"/>
              <w:left w:val="single" w:sz="8" w:space="0" w:color="auto"/>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Vysoké Mýto</w:t>
            </w:r>
          </w:p>
        </w:tc>
        <w:tc>
          <w:tcPr>
            <w:tcW w:w="1128"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r w:rsidRPr="003C1CF6">
              <w:rPr>
                <w:rFonts w:ascii="Arial" w:hAnsi="Arial" w:cs="Arial"/>
                <w:b/>
                <w:bCs/>
                <w:sz w:val="20"/>
                <w:szCs w:val="20"/>
                <w:lang w:eastAsia="cs-CZ"/>
              </w:rPr>
              <w:t>X</w:t>
            </w:r>
          </w:p>
        </w:tc>
        <w:tc>
          <w:tcPr>
            <w:tcW w:w="892"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p>
        </w:tc>
        <w:tc>
          <w:tcPr>
            <w:tcW w:w="801" w:type="pct"/>
            <w:tcBorders>
              <w:top w:val="nil"/>
              <w:left w:val="nil"/>
              <w:bottom w:val="single" w:sz="4" w:space="0" w:color="auto"/>
              <w:right w:val="single" w:sz="4"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sz w:val="20"/>
                <w:szCs w:val="20"/>
                <w:lang w:eastAsia="cs-CZ"/>
              </w:rPr>
            </w:pPr>
          </w:p>
        </w:tc>
        <w:tc>
          <w:tcPr>
            <w:tcW w:w="615" w:type="pct"/>
            <w:tcBorders>
              <w:top w:val="nil"/>
              <w:left w:val="nil"/>
              <w:bottom w:val="single" w:sz="4" w:space="0" w:color="auto"/>
              <w:right w:val="single" w:sz="8" w:space="0" w:color="auto"/>
            </w:tcBorders>
            <w:shd w:val="clear" w:color="auto" w:fill="auto"/>
            <w:noWrap/>
            <w:vAlign w:val="center"/>
            <w:hideMark/>
          </w:tcPr>
          <w:p w:rsidR="005637EB" w:rsidRPr="003C1CF6" w:rsidRDefault="005637EB" w:rsidP="00C30FE1">
            <w:pPr>
              <w:spacing w:beforeLines="20" w:afterLines="20"/>
              <w:jc w:val="center"/>
              <w:rPr>
                <w:rFonts w:ascii="Arial" w:hAnsi="Arial" w:cs="Arial"/>
                <w:b/>
                <w:bCs/>
                <w:color w:val="000000"/>
                <w:sz w:val="20"/>
                <w:szCs w:val="20"/>
                <w:lang w:eastAsia="cs-CZ"/>
              </w:rPr>
            </w:pPr>
          </w:p>
        </w:tc>
      </w:tr>
      <w:tr w:rsidR="005637EB" w:rsidRPr="003C1CF6" w:rsidTr="007845D4">
        <w:trPr>
          <w:trHeight w:val="255"/>
        </w:trPr>
        <w:tc>
          <w:tcPr>
            <w:tcW w:w="1564" w:type="pct"/>
            <w:tcBorders>
              <w:top w:val="nil"/>
              <w:left w:val="single" w:sz="8" w:space="0" w:color="auto"/>
              <w:bottom w:val="single" w:sz="8" w:space="0" w:color="auto"/>
              <w:right w:val="single" w:sz="4" w:space="0" w:color="auto"/>
            </w:tcBorders>
            <w:shd w:val="clear" w:color="000000" w:fill="EEECE1"/>
            <w:noWrap/>
            <w:vAlign w:val="center"/>
            <w:hideMark/>
          </w:tcPr>
          <w:p w:rsidR="005637EB" w:rsidRPr="003C1CF6" w:rsidRDefault="005637EB" w:rsidP="00C30FE1">
            <w:pPr>
              <w:spacing w:beforeLines="20" w:afterLines="20"/>
              <w:rPr>
                <w:rFonts w:ascii="Arial" w:hAnsi="Arial" w:cs="Arial"/>
                <w:sz w:val="20"/>
                <w:szCs w:val="20"/>
                <w:lang w:eastAsia="cs-CZ"/>
              </w:rPr>
            </w:pPr>
            <w:r w:rsidRPr="003C1CF6">
              <w:rPr>
                <w:rFonts w:ascii="Arial" w:hAnsi="Arial" w:cs="Arial"/>
                <w:sz w:val="20"/>
                <w:szCs w:val="20"/>
                <w:lang w:eastAsia="cs-CZ"/>
              </w:rPr>
              <w:t xml:space="preserve">Celkem </w:t>
            </w:r>
          </w:p>
        </w:tc>
        <w:tc>
          <w:tcPr>
            <w:tcW w:w="1128" w:type="pct"/>
            <w:tcBorders>
              <w:top w:val="nil"/>
              <w:left w:val="nil"/>
              <w:bottom w:val="nil"/>
              <w:right w:val="single" w:sz="4" w:space="0" w:color="auto"/>
            </w:tcBorders>
            <w:shd w:val="clear" w:color="000000" w:fill="EEECE1"/>
            <w:noWrap/>
            <w:vAlign w:val="center"/>
            <w:hideMark/>
          </w:tcPr>
          <w:p w:rsidR="005637EB" w:rsidRPr="003C1CF6" w:rsidRDefault="005637EB" w:rsidP="00C30FE1">
            <w:pPr>
              <w:spacing w:beforeLines="20" w:afterLines="20"/>
              <w:rPr>
                <w:rFonts w:ascii="Arial" w:hAnsi="Arial" w:cs="Arial"/>
                <w:b/>
                <w:bCs/>
                <w:sz w:val="20"/>
                <w:szCs w:val="20"/>
                <w:lang w:eastAsia="cs-CZ"/>
              </w:rPr>
            </w:pPr>
            <w:r w:rsidRPr="003C1CF6">
              <w:rPr>
                <w:rFonts w:ascii="Arial" w:hAnsi="Arial" w:cs="Arial"/>
                <w:b/>
                <w:bCs/>
                <w:sz w:val="20"/>
                <w:szCs w:val="20"/>
                <w:lang w:eastAsia="cs-CZ"/>
              </w:rPr>
              <w:t>89</w:t>
            </w:r>
          </w:p>
        </w:tc>
        <w:tc>
          <w:tcPr>
            <w:tcW w:w="892" w:type="pct"/>
            <w:tcBorders>
              <w:top w:val="nil"/>
              <w:left w:val="nil"/>
              <w:bottom w:val="nil"/>
              <w:right w:val="single" w:sz="4" w:space="0" w:color="auto"/>
            </w:tcBorders>
            <w:shd w:val="clear" w:color="000000" w:fill="EEECE1"/>
            <w:noWrap/>
            <w:vAlign w:val="center"/>
            <w:hideMark/>
          </w:tcPr>
          <w:p w:rsidR="005637EB" w:rsidRPr="003C1CF6" w:rsidRDefault="005637EB" w:rsidP="00C30FE1">
            <w:pPr>
              <w:spacing w:beforeLines="20" w:afterLines="20"/>
              <w:rPr>
                <w:rFonts w:ascii="Arial" w:hAnsi="Arial" w:cs="Arial"/>
                <w:b/>
                <w:bCs/>
                <w:sz w:val="20"/>
                <w:szCs w:val="20"/>
                <w:lang w:eastAsia="cs-CZ"/>
              </w:rPr>
            </w:pPr>
            <w:r w:rsidRPr="003C1CF6">
              <w:rPr>
                <w:rFonts w:ascii="Arial" w:hAnsi="Arial" w:cs="Arial"/>
                <w:b/>
                <w:bCs/>
                <w:sz w:val="20"/>
                <w:szCs w:val="20"/>
                <w:lang w:eastAsia="cs-CZ"/>
              </w:rPr>
              <w:t>36</w:t>
            </w:r>
          </w:p>
        </w:tc>
        <w:tc>
          <w:tcPr>
            <w:tcW w:w="801" w:type="pct"/>
            <w:tcBorders>
              <w:top w:val="nil"/>
              <w:left w:val="nil"/>
              <w:bottom w:val="nil"/>
              <w:right w:val="single" w:sz="4" w:space="0" w:color="auto"/>
            </w:tcBorders>
            <w:shd w:val="clear" w:color="000000" w:fill="EEECE1"/>
            <w:noWrap/>
            <w:vAlign w:val="center"/>
            <w:hideMark/>
          </w:tcPr>
          <w:p w:rsidR="005637EB" w:rsidRPr="003C1CF6" w:rsidRDefault="005637EB" w:rsidP="00C30FE1">
            <w:pPr>
              <w:spacing w:beforeLines="20" w:afterLines="20"/>
              <w:rPr>
                <w:rFonts w:ascii="Arial" w:hAnsi="Arial" w:cs="Arial"/>
                <w:b/>
                <w:bCs/>
                <w:sz w:val="20"/>
                <w:szCs w:val="20"/>
                <w:lang w:eastAsia="cs-CZ"/>
              </w:rPr>
            </w:pPr>
            <w:r w:rsidRPr="003C1CF6">
              <w:rPr>
                <w:rFonts w:ascii="Arial" w:hAnsi="Arial" w:cs="Arial"/>
                <w:b/>
                <w:bCs/>
                <w:sz w:val="20"/>
                <w:szCs w:val="20"/>
                <w:lang w:eastAsia="cs-CZ"/>
              </w:rPr>
              <w:t>59</w:t>
            </w:r>
          </w:p>
        </w:tc>
        <w:tc>
          <w:tcPr>
            <w:tcW w:w="615" w:type="pct"/>
            <w:tcBorders>
              <w:top w:val="nil"/>
              <w:left w:val="nil"/>
              <w:bottom w:val="nil"/>
              <w:right w:val="single" w:sz="8" w:space="0" w:color="auto"/>
            </w:tcBorders>
            <w:shd w:val="clear" w:color="000000" w:fill="EEECE1"/>
            <w:noWrap/>
            <w:vAlign w:val="center"/>
            <w:hideMark/>
          </w:tcPr>
          <w:p w:rsidR="005637EB" w:rsidRPr="003C1CF6" w:rsidRDefault="005637EB" w:rsidP="00C30FE1">
            <w:pPr>
              <w:spacing w:beforeLines="20" w:afterLines="20"/>
              <w:rPr>
                <w:rFonts w:ascii="Arial" w:hAnsi="Arial" w:cs="Arial"/>
                <w:b/>
                <w:bCs/>
                <w:sz w:val="20"/>
                <w:szCs w:val="20"/>
                <w:lang w:eastAsia="cs-CZ"/>
              </w:rPr>
            </w:pPr>
            <w:r w:rsidRPr="003C1CF6">
              <w:rPr>
                <w:rFonts w:ascii="Arial" w:hAnsi="Arial" w:cs="Arial"/>
                <w:b/>
                <w:bCs/>
                <w:sz w:val="20"/>
                <w:szCs w:val="20"/>
                <w:lang w:eastAsia="cs-CZ"/>
              </w:rPr>
              <w:t>47</w:t>
            </w:r>
          </w:p>
        </w:tc>
      </w:tr>
    </w:tbl>
    <w:p w:rsidR="005637EB" w:rsidRPr="0096737A" w:rsidRDefault="005637EB" w:rsidP="005637EB">
      <w:pPr>
        <w:rPr>
          <w:rFonts w:ascii="Arial" w:hAnsi="Arial" w:cs="Arial"/>
        </w:rPr>
      </w:pPr>
    </w:p>
    <w:p w:rsidR="005637EB" w:rsidRDefault="005637EB" w:rsidP="005637EB"/>
    <w:sectPr w:rsidR="005637EB" w:rsidSect="00F255F8">
      <w:headerReference w:type="default" r:id="rId96"/>
      <w:footerReference w:type="default" r:id="rId9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AC9" w:rsidRDefault="00A60AC9" w:rsidP="00D74D3A">
      <w:r>
        <w:separator/>
      </w:r>
    </w:p>
  </w:endnote>
  <w:endnote w:type="continuationSeparator" w:id="0">
    <w:p w:rsidR="00A60AC9" w:rsidRDefault="00A60AC9" w:rsidP="00D74D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FreeSans">
    <w:panose1 w:val="00000000000000000000"/>
    <w:charset w:val="EE"/>
    <w:family w:val="swiss"/>
    <w:notTrueType/>
    <w:pitch w:val="variable"/>
    <w:sig w:usb0="00000005" w:usb1="00000000" w:usb2="00000000" w:usb3="00000000" w:csb0="00000002" w:csb1="00000000"/>
  </w:font>
  <w:font w:name="SymbolMT">
    <w:charset w:val="EE"/>
    <w:family w:val="auto"/>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26398"/>
      <w:docPartObj>
        <w:docPartGallery w:val="Page Numbers (Bottom of Page)"/>
        <w:docPartUnique/>
      </w:docPartObj>
    </w:sdtPr>
    <w:sdtContent>
      <w:p w:rsidR="00DD1FE0" w:rsidRDefault="00DD1FE0">
        <w:pPr>
          <w:pStyle w:val="Zpat"/>
          <w:jc w:val="center"/>
        </w:pPr>
        <w:fldSimple w:instr=" PAGE   \* MERGEFORMAT ">
          <w:r w:rsidR="00D53CB0">
            <w:rPr>
              <w:noProof/>
            </w:rPr>
            <w:t>2</w:t>
          </w:r>
        </w:fldSimple>
      </w:p>
    </w:sdtContent>
  </w:sdt>
  <w:p w:rsidR="00DD1FE0" w:rsidRDefault="00DD1FE0" w:rsidP="009B1571">
    <w:pPr>
      <w:pStyle w:val="Zpat"/>
      <w:spacing w:after="0"/>
      <w:rPr>
        <w:sz w:val="14"/>
        <w:szCs w:val="14"/>
      </w:rPr>
    </w:pPr>
    <w:r w:rsidRPr="009B1571">
      <w:rPr>
        <w:sz w:val="14"/>
        <w:szCs w:val="14"/>
      </w:rPr>
      <w:t xml:space="preserve">Projekt </w:t>
    </w:r>
    <w:r w:rsidRPr="009B1571">
      <w:rPr>
        <w:i/>
        <w:sz w:val="14"/>
        <w:szCs w:val="14"/>
      </w:rPr>
      <w:t>Podpora vzniku strategie komunitně vedeného místního rozvoje pro území MAS Litomyšlsko o.p.s.</w:t>
    </w:r>
    <w:r w:rsidRPr="009B1571">
      <w:rPr>
        <w:sz w:val="14"/>
        <w:szCs w:val="14"/>
      </w:rPr>
      <w:t xml:space="preserve"> byl podpořen z OP TP 2007-2013</w:t>
    </w:r>
  </w:p>
  <w:p w:rsidR="00DD1FE0" w:rsidRPr="009B1571" w:rsidRDefault="00DD1FE0" w:rsidP="009B1571">
    <w:pPr>
      <w:pStyle w:val="Zpat"/>
      <w:spacing w:after="0"/>
      <w:rPr>
        <w:sz w:val="14"/>
        <w:szCs w:val="14"/>
      </w:rPr>
    </w:pPr>
    <w:r>
      <w:rPr>
        <w:sz w:val="14"/>
        <w:szCs w:val="14"/>
      </w:rPr>
      <w:t>Identifikační číslo EIS: CZ.1.08/3.2.00/14.00295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AC9" w:rsidRDefault="00A60AC9" w:rsidP="00D74D3A">
      <w:r>
        <w:separator/>
      </w:r>
    </w:p>
  </w:footnote>
  <w:footnote w:type="continuationSeparator" w:id="0">
    <w:p w:rsidR="00A60AC9" w:rsidRDefault="00A60AC9" w:rsidP="00D74D3A">
      <w:r>
        <w:continuationSeparator/>
      </w:r>
    </w:p>
  </w:footnote>
  <w:footnote w:id="1">
    <w:p w:rsidR="00DD1FE0" w:rsidRDefault="00DD1FE0" w:rsidP="002608A3">
      <w:pPr>
        <w:pStyle w:val="Textpoznpodarou"/>
      </w:pPr>
      <w:r>
        <w:rPr>
          <w:rStyle w:val="Znakapoznpodarou"/>
        </w:rPr>
        <w:footnoteRef/>
      </w:r>
      <w:r>
        <w:t xml:space="preserve"> V celém textu tohoto </w:t>
      </w:r>
      <w:r w:rsidRPr="002608A3">
        <w:t>dokumentu je nutné rozlišovat MAS Litomyšlsko o.p.s. jako právnickou osobu a MAS Litomyšlsko (MAS), jenž</w:t>
      </w:r>
      <w:r>
        <w:t xml:space="preserve"> představuje partnerství regionálních subjektů a je organizační složkou právnické osoby MAS Litomyšlsko o.p.s.</w:t>
      </w:r>
    </w:p>
  </w:footnote>
  <w:footnote w:id="2">
    <w:p w:rsidR="00DD1FE0" w:rsidRDefault="00DD1FE0">
      <w:pPr>
        <w:pStyle w:val="Textpoznpodarou"/>
      </w:pPr>
      <w:r w:rsidRPr="002608A3">
        <w:rPr>
          <w:rStyle w:val="Znakapoznpodarou"/>
        </w:rPr>
        <w:footnoteRef/>
      </w:r>
      <w:r w:rsidRPr="002608A3">
        <w:t xml:space="preserve"> Zdroj ČSÚ, data platná pro 31.1.2013</w:t>
      </w:r>
    </w:p>
  </w:footnote>
  <w:footnote w:id="3">
    <w:p w:rsidR="00DD1FE0" w:rsidRDefault="00DD1FE0" w:rsidP="00A836EE">
      <w:pPr>
        <w:pStyle w:val="Textpoznpodarou"/>
      </w:pPr>
      <w:r w:rsidRPr="002608A3">
        <w:rPr>
          <w:rStyle w:val="Znakapoznpodarou"/>
        </w:rPr>
        <w:footnoteRef/>
      </w:r>
      <w:r w:rsidRPr="002608A3">
        <w:t>Zdroj: MMR ČR, http://www.mmr.cz/cs/Ministerstvo/Ministerstvo/Pro-media/Tiskove-zpravy/2009/MMR-ozivuje-podporu-hospodarsky-slabych-regionu</w:t>
      </w:r>
    </w:p>
  </w:footnote>
  <w:footnote w:id="4">
    <w:p w:rsidR="00DD1FE0" w:rsidRDefault="00DD1FE0">
      <w:pPr>
        <w:pStyle w:val="Textpoznpodarou"/>
      </w:pPr>
      <w:r>
        <w:rPr>
          <w:rStyle w:val="Znakapoznpodarou"/>
        </w:rPr>
        <w:footnoteRef/>
      </w:r>
      <w:r>
        <w:t xml:space="preserve"> ORP (obec s rozšířenou působností)</w:t>
      </w:r>
    </w:p>
  </w:footnote>
  <w:footnote w:id="5">
    <w:p w:rsidR="00DD1FE0" w:rsidRDefault="00DD1FE0">
      <w:pPr>
        <w:pStyle w:val="Textpoznpodarou"/>
      </w:pPr>
      <w:r>
        <w:rPr>
          <w:rStyle w:val="Znakapoznpodarou"/>
        </w:rPr>
        <w:footnoteRef/>
      </w:r>
      <w:r>
        <w:t xml:space="preserve"> Jedná </w:t>
      </w:r>
      <w:r w:rsidRPr="002608A3">
        <w:t>se o orgány MAS Litomyšlsko jako místního partnerství, nikoli MAS Litomyšlsko o.p.s. jako právnické osoby.</w:t>
      </w:r>
    </w:p>
  </w:footnote>
  <w:footnote w:id="6">
    <w:p w:rsidR="00DD1FE0" w:rsidRDefault="00DD1FE0">
      <w:pPr>
        <w:pStyle w:val="Textpoznpodarou"/>
      </w:pPr>
      <w:r>
        <w:rPr>
          <w:rStyle w:val="Znakapoznpodarou"/>
        </w:rPr>
        <w:footnoteRef/>
      </w:r>
      <w:r>
        <w:t xml:space="preserve"> Zdroj: Metodika pro standardizaci místních akčních skupin v programovém období 2014-2020</w:t>
      </w:r>
    </w:p>
  </w:footnote>
  <w:footnote w:id="7">
    <w:p w:rsidR="00DD1FE0" w:rsidRDefault="00DD1FE0">
      <w:pPr>
        <w:pStyle w:val="Textpoznpodarou"/>
      </w:pPr>
      <w:r>
        <w:rPr>
          <w:rStyle w:val="Znakapoznpodarou"/>
        </w:rPr>
        <w:footnoteRef/>
      </w:r>
      <w:r>
        <w:t xml:space="preserve"> Program obnovy venkova</w:t>
      </w:r>
    </w:p>
  </w:footnote>
  <w:footnote w:id="8">
    <w:p w:rsidR="00DD1FE0" w:rsidRDefault="00DD1FE0">
      <w:pPr>
        <w:pStyle w:val="Textpoznpodarou"/>
      </w:pPr>
      <w:r>
        <w:rPr>
          <w:rStyle w:val="Znakapoznpodarou"/>
        </w:rPr>
        <w:footnoteRef/>
      </w:r>
      <w:r>
        <w:t xml:space="preserve"> Ministerstvo pro místní rozvoj ČR</w:t>
      </w:r>
    </w:p>
  </w:footnote>
  <w:footnote w:id="9">
    <w:p w:rsidR="00DD1FE0" w:rsidRDefault="00DD1FE0">
      <w:pPr>
        <w:pStyle w:val="Textpoznpodarou"/>
      </w:pPr>
      <w:r>
        <w:rPr>
          <w:rStyle w:val="Znakapoznpodarou"/>
        </w:rPr>
        <w:footnoteRef/>
      </w:r>
      <w:r>
        <w:t xml:space="preserve"> PRV (Program rozvoje venkova)</w:t>
      </w:r>
    </w:p>
  </w:footnote>
  <w:footnote w:id="10">
    <w:p w:rsidR="00DD1FE0" w:rsidRDefault="00DD1FE0">
      <w:pPr>
        <w:pStyle w:val="Textpoznpodarou"/>
      </w:pPr>
      <w:r>
        <w:rPr>
          <w:rStyle w:val="Znakapoznpodarou"/>
        </w:rPr>
        <w:footnoteRef/>
      </w:r>
      <w:r>
        <w:t xml:space="preserve"> Zdrojem části 2.1.1 Obyvatelstvo je ČSÚ</w:t>
      </w:r>
    </w:p>
  </w:footnote>
  <w:footnote w:id="11">
    <w:p w:rsidR="00DD1FE0" w:rsidRDefault="00DD1FE0" w:rsidP="00E96CFA">
      <w:r>
        <w:rPr>
          <w:rStyle w:val="Znakapoznpodarou"/>
        </w:rPr>
        <w:footnoteRef/>
      </w:r>
      <w:r>
        <w:t xml:space="preserve"> </w:t>
      </w:r>
      <w:r w:rsidRPr="00EC2AD0">
        <w:rPr>
          <w:sz w:val="20"/>
          <w:szCs w:val="20"/>
        </w:rPr>
        <w:t>Zdroj: Příloha I - Tabulka č. 27: Seznam velkých projektů OPD (</w:t>
      </w:r>
      <w:hyperlink r:id="rId1" w:history="1">
        <w:r w:rsidRPr="00EC2AD0">
          <w:rPr>
            <w:rStyle w:val="Hypertextovodkaz"/>
            <w:sz w:val="20"/>
            <w:szCs w:val="20"/>
          </w:rPr>
          <w:t>http://www.opd.cz/cz/OP_doprava_2014-2020</w:t>
        </w:r>
      </w:hyperlink>
      <w:r w:rsidRPr="00EC2AD0">
        <w:rPr>
          <w:sz w:val="20"/>
          <w:szCs w:val="20"/>
        </w:rPr>
        <w:t xml:space="preserve"> nebo přesněji www.opd.cz/Wings/userfiles/OPD2014-2020_P%C5%99%C3%ADlohy.zip)</w:t>
      </w:r>
    </w:p>
  </w:footnote>
  <w:footnote w:id="12">
    <w:p w:rsidR="00DD1FE0" w:rsidRDefault="00DD1FE0" w:rsidP="00B17AE0">
      <w:r>
        <w:rPr>
          <w:rStyle w:val="Znakapoznpodarou"/>
        </w:rPr>
        <w:footnoteRef/>
      </w:r>
      <w:r>
        <w:t xml:space="preserve"> </w:t>
      </w:r>
      <w:r w:rsidRPr="00EC2AD0">
        <w:rPr>
          <w:sz w:val="20"/>
          <w:szCs w:val="20"/>
        </w:rPr>
        <w:t>Zdroj: http://www.r35.eu/stavebni-useky/hradec-kralove%E2%80%93mohelnice/ostrov-mohelnice/description</w:t>
      </w:r>
    </w:p>
  </w:footnote>
  <w:footnote w:id="13">
    <w:p w:rsidR="00DD1FE0" w:rsidRDefault="00DD1FE0">
      <w:pPr>
        <w:pStyle w:val="Textpoznpodarou"/>
      </w:pPr>
      <w:r>
        <w:rPr>
          <w:rStyle w:val="Znakapoznpodarou"/>
        </w:rPr>
        <w:footnoteRef/>
      </w:r>
      <w:r>
        <w:t xml:space="preserve"> Zdroj: ČSÚ</w:t>
      </w:r>
    </w:p>
  </w:footnote>
  <w:footnote w:id="14">
    <w:p w:rsidR="00DD1FE0" w:rsidRDefault="00DD1FE0">
      <w:pPr>
        <w:pStyle w:val="Textpoznpodarou"/>
      </w:pPr>
      <w:r>
        <w:rPr>
          <w:rStyle w:val="Znakapoznpodarou"/>
        </w:rPr>
        <w:footnoteRef/>
      </w:r>
      <w:r>
        <w:t xml:space="preserve"> SDH (sbor dobrovolných hasičů)</w:t>
      </w:r>
    </w:p>
  </w:footnote>
  <w:footnote w:id="15">
    <w:p w:rsidR="00DD1FE0" w:rsidRDefault="00DD1FE0" w:rsidP="00EA0E27">
      <w:pPr>
        <w:jc w:val="left"/>
      </w:pPr>
      <w:r>
        <w:rPr>
          <w:rStyle w:val="Znakapoznpodarou"/>
        </w:rPr>
        <w:footnoteRef/>
      </w:r>
      <w:r>
        <w:t xml:space="preserve"> Zdroj: Výroční zpráva 2013 Litomyšlské nemocnice, dostupné na: h</w:t>
      </w:r>
      <w:r w:rsidRPr="00136A3D">
        <w:t>ttp://www.litnem.cz/vyrocni-zpravy/</w:t>
      </w:r>
    </w:p>
    <w:p w:rsidR="00DD1FE0" w:rsidRDefault="00DD1FE0">
      <w:pPr>
        <w:pStyle w:val="Textpoznpodarou"/>
      </w:pPr>
    </w:p>
  </w:footnote>
  <w:footnote w:id="16">
    <w:p w:rsidR="00DD1FE0" w:rsidRPr="00312E6D" w:rsidRDefault="00DD1FE0" w:rsidP="00312E6D">
      <w:pPr>
        <w:ind w:left="1123"/>
        <w:rPr>
          <w:sz w:val="20"/>
          <w:szCs w:val="20"/>
        </w:rPr>
      </w:pPr>
      <w:r w:rsidRPr="00312E6D">
        <w:rPr>
          <w:rStyle w:val="Znakapoznpodarou"/>
          <w:sz w:val="20"/>
          <w:szCs w:val="20"/>
        </w:rPr>
        <w:footnoteRef/>
      </w:r>
      <w:r w:rsidRPr="00312E6D">
        <w:rPr>
          <w:sz w:val="20"/>
          <w:szCs w:val="20"/>
        </w:rPr>
        <w:t xml:space="preserve"> Vše zdroj </w:t>
      </w:r>
      <w:hyperlink r:id="rId2" w:history="1">
        <w:r w:rsidRPr="00312E6D">
          <w:rPr>
            <w:rStyle w:val="Hypertextovodkaz"/>
            <w:color w:val="auto"/>
            <w:sz w:val="20"/>
            <w:szCs w:val="20"/>
          </w:rPr>
          <w:t>http://www.esfcr.cz/mapa/int_pa9_6.html</w:t>
        </w:r>
      </w:hyperlink>
    </w:p>
  </w:footnote>
  <w:footnote w:id="17">
    <w:p w:rsidR="00DD1FE0" w:rsidRDefault="00DD1FE0">
      <w:pPr>
        <w:pStyle w:val="Textpoznpodarou"/>
      </w:pPr>
      <w:r>
        <w:rPr>
          <w:rStyle w:val="Znakapoznpodarou"/>
        </w:rPr>
        <w:footnoteRef/>
      </w:r>
      <w:r>
        <w:t xml:space="preserve"> Telefonická krizová pomoc je na území poskytována ze zázemí v Ústí nad Orlicí, tedy mimo území působnosti MAS Litomyšlsko.</w:t>
      </w:r>
    </w:p>
  </w:footnote>
  <w:footnote w:id="18">
    <w:p w:rsidR="00DD1FE0" w:rsidRDefault="00DD1FE0">
      <w:pPr>
        <w:pStyle w:val="Textpoznpodarou"/>
      </w:pPr>
      <w:r>
        <w:rPr>
          <w:rStyle w:val="Znakapoznpodarou"/>
        </w:rPr>
        <w:footnoteRef/>
      </w:r>
      <w:r>
        <w:t xml:space="preserve"> Ve Vysokém Mýtě </w:t>
      </w:r>
      <w:r w:rsidRPr="00177364">
        <w:t>SKP-CENTRUM, o.p.s. provozuje azylový dům. V tabulce není uveden pouze z důvodu kategorizace služeb u zdrojových dat.</w:t>
      </w:r>
    </w:p>
  </w:footnote>
  <w:footnote w:id="19">
    <w:p w:rsidR="00DD1FE0" w:rsidRDefault="00DD1FE0">
      <w:pPr>
        <w:pStyle w:val="Textpoznpodarou"/>
      </w:pPr>
      <w:r>
        <w:rPr>
          <w:rStyle w:val="Znakapoznpodarou"/>
        </w:rPr>
        <w:footnoteRef/>
      </w:r>
      <w:r>
        <w:t xml:space="preserve"> Městská policie provozuje ubytovnu pro občany, kteří se ocitli v tísni, ale kapacita je omezená a jako klasická noclehárna pro příchozí toto zařízení neslouží.</w:t>
      </w:r>
    </w:p>
  </w:footnote>
  <w:footnote w:id="20">
    <w:p w:rsidR="00DD1FE0" w:rsidRDefault="00DD1FE0">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1">
    <w:p w:rsidR="00DD1FE0" w:rsidRDefault="00DD1FE0" w:rsidP="00EA0E27">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2">
    <w:p w:rsidR="00DD1FE0" w:rsidRDefault="00DD1FE0" w:rsidP="00EA0E27">
      <w:pPr>
        <w:pStyle w:val="Textpoznpodarou"/>
      </w:pPr>
      <w:r>
        <w:rPr>
          <w:rStyle w:val="Znakapoznpodarou"/>
        </w:rPr>
        <w:footnoteRef/>
      </w:r>
      <w:r>
        <w:t xml:space="preserve"> Zdroj: KÚ Pardubického kraje, </w:t>
      </w:r>
      <w:r w:rsidRPr="009333FD">
        <w:t>Vytváření místního partnerství – benchmarking sociálních služeb Pardubického kraje, verze 6.0</w:t>
      </w:r>
    </w:p>
  </w:footnote>
  <w:footnote w:id="23">
    <w:p w:rsidR="00DD1FE0" w:rsidRDefault="00DD1FE0" w:rsidP="00112489">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4">
    <w:p w:rsidR="00DD1FE0" w:rsidRDefault="00DD1FE0" w:rsidP="00112489">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5">
    <w:p w:rsidR="00DD1FE0" w:rsidRDefault="00DD1FE0" w:rsidP="00112489">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6">
    <w:p w:rsidR="00DD1FE0" w:rsidRDefault="00DD1FE0" w:rsidP="00112489">
      <w:pPr>
        <w:pStyle w:val="Textpoznpodarou"/>
      </w:pPr>
      <w:r>
        <w:rPr>
          <w:rStyle w:val="Znakapoznpodarou"/>
        </w:rPr>
        <w:footnoteRef/>
      </w:r>
      <w:r>
        <w:t xml:space="preserve"> Zdroj: Online registr poskytovatelů sociálních služeb, dostupné na : </w:t>
      </w:r>
      <w:r w:rsidRPr="00195AB7">
        <w:t>http://iregistr.mpsv.cz/socreg/hledani_sluzby.do?SUBSESSION_ID=1409316467331_1</w:t>
      </w:r>
    </w:p>
  </w:footnote>
  <w:footnote w:id="27">
    <w:p w:rsidR="00DD1FE0" w:rsidRPr="00112489" w:rsidRDefault="00DD1FE0" w:rsidP="00112489">
      <w:pPr>
        <w:rPr>
          <w:sz w:val="20"/>
          <w:szCs w:val="20"/>
        </w:rPr>
      </w:pPr>
      <w:r w:rsidRPr="00112489">
        <w:rPr>
          <w:rStyle w:val="Znakapoznpodarou"/>
          <w:sz w:val="20"/>
          <w:szCs w:val="20"/>
        </w:rPr>
        <w:footnoteRef/>
      </w:r>
      <w:r w:rsidRPr="00112489">
        <w:rPr>
          <w:sz w:val="20"/>
          <w:szCs w:val="20"/>
        </w:rPr>
        <w:t xml:space="preserve"> </w:t>
      </w:r>
      <w:r>
        <w:rPr>
          <w:sz w:val="20"/>
          <w:szCs w:val="20"/>
        </w:rPr>
        <w:t xml:space="preserve">Zdroj: </w:t>
      </w:r>
      <w:r w:rsidRPr="00112489">
        <w:rPr>
          <w:sz w:val="20"/>
          <w:szCs w:val="20"/>
        </w:rPr>
        <w:t>Oficiální stránky BERENIKA Vysoké Mýto o.p.s, dostupné na: http://www.berenika-vm.cz/</w:t>
      </w:r>
    </w:p>
    <w:p w:rsidR="00DD1FE0" w:rsidRPr="00112489" w:rsidRDefault="00DD1FE0" w:rsidP="00112489">
      <w:pPr>
        <w:rPr>
          <w:sz w:val="20"/>
          <w:szCs w:val="20"/>
        </w:rPr>
      </w:pPr>
      <w:r>
        <w:rPr>
          <w:sz w:val="20"/>
          <w:szCs w:val="20"/>
        </w:rPr>
        <w:t xml:space="preserve">Zdroj: </w:t>
      </w:r>
      <w:r w:rsidRPr="00112489">
        <w:rPr>
          <w:sz w:val="20"/>
          <w:szCs w:val="20"/>
        </w:rPr>
        <w:t xml:space="preserve">Oficiální stránky Ruka pro život o.p.s., dostupné na: </w:t>
      </w:r>
      <w:hyperlink r:id="rId3" w:history="1">
        <w:r w:rsidRPr="00112489">
          <w:rPr>
            <w:rStyle w:val="Hypertextovodkaz"/>
            <w:sz w:val="20"/>
            <w:szCs w:val="20"/>
          </w:rPr>
          <w:t>http://www.rukaprozivot.cz/Litomysl/</w:t>
        </w:r>
      </w:hyperlink>
    </w:p>
    <w:p w:rsidR="00DD1FE0" w:rsidRPr="00112489" w:rsidRDefault="00DD1FE0" w:rsidP="00112489">
      <w:pPr>
        <w:rPr>
          <w:sz w:val="20"/>
          <w:szCs w:val="20"/>
        </w:rPr>
      </w:pPr>
      <w:r w:rsidRPr="00112489">
        <w:rPr>
          <w:sz w:val="20"/>
          <w:szCs w:val="20"/>
        </w:rPr>
        <w:t>Zdroj: Oficiální stránky Oblastní charity Nové hrady u Skutče, dostupné na: http://novehrady.charita.cz/sluzby-ktere-poskytujeme/denni-stacionar/</w:t>
      </w:r>
    </w:p>
    <w:p w:rsidR="00DD1FE0" w:rsidRDefault="00DD1FE0">
      <w:pPr>
        <w:pStyle w:val="Textpoznpodarou"/>
      </w:pPr>
    </w:p>
  </w:footnote>
  <w:footnote w:id="28">
    <w:p w:rsidR="00DD1FE0" w:rsidRDefault="00DD1FE0" w:rsidP="00112489">
      <w:r>
        <w:rPr>
          <w:rStyle w:val="Znakapoznpodarou"/>
        </w:rPr>
        <w:footnoteRef/>
      </w:r>
      <w:r>
        <w:t xml:space="preserve"> Zdroj: Oficiální stránky města Litomyšl, dostupné na: </w:t>
      </w:r>
      <w:r w:rsidRPr="009625CD">
        <w:t>http://www.litomysl.cz/?id_str=1311054605142</w:t>
      </w:r>
    </w:p>
  </w:footnote>
  <w:footnote w:id="29">
    <w:p w:rsidR="00DD1FE0" w:rsidRPr="00652527" w:rsidRDefault="00DD1FE0" w:rsidP="00112489">
      <w:r>
        <w:rPr>
          <w:rStyle w:val="Znakapoznpodarou"/>
        </w:rPr>
        <w:footnoteRef/>
      </w:r>
      <w:r>
        <w:t xml:space="preserve"> Zdroj: Oficiální stránky</w:t>
      </w:r>
      <w:r w:rsidRPr="00136A3D">
        <w:t xml:space="preserve"> BERENIKA Vysoké Mýto o.p.s</w:t>
      </w:r>
      <w:r>
        <w:t xml:space="preserve">, dostupné na: </w:t>
      </w:r>
      <w:r w:rsidRPr="00136A3D">
        <w:t>http://www.berenika-vm.cz/</w:t>
      </w:r>
    </w:p>
    <w:p w:rsidR="00DD1FE0" w:rsidRDefault="00DD1FE0">
      <w:pPr>
        <w:pStyle w:val="Textpoznpodarou"/>
      </w:pPr>
    </w:p>
  </w:footnote>
  <w:footnote w:id="30">
    <w:p w:rsidR="00DD1FE0" w:rsidRPr="00112489" w:rsidRDefault="00DD1FE0" w:rsidP="00112489">
      <w:pPr>
        <w:rPr>
          <w:sz w:val="20"/>
          <w:szCs w:val="20"/>
        </w:rPr>
      </w:pPr>
      <w:r w:rsidRPr="00112489">
        <w:rPr>
          <w:rStyle w:val="Znakapoznpodarou"/>
          <w:sz w:val="20"/>
          <w:szCs w:val="20"/>
        </w:rPr>
        <w:footnoteRef/>
      </w:r>
      <w:r w:rsidRPr="00112489">
        <w:rPr>
          <w:sz w:val="20"/>
          <w:szCs w:val="20"/>
        </w:rPr>
        <w:t xml:space="preserve"> Zdroj: Oficiální stránky Oblastní charity Nové hrady u Skutče, dostupné na: http://novehrady.charita.cz/vyhledavani-v-adresari/?s=socialne-terapeuticke-dilny#directory-detail</w:t>
      </w:r>
    </w:p>
  </w:footnote>
  <w:footnote w:id="31">
    <w:p w:rsidR="00DD1FE0" w:rsidRPr="001C1B7F" w:rsidRDefault="00DD1FE0" w:rsidP="001C1B7F">
      <w:pPr>
        <w:rPr>
          <w:sz w:val="20"/>
          <w:szCs w:val="20"/>
        </w:rPr>
      </w:pPr>
      <w:r w:rsidRPr="001C1B7F">
        <w:rPr>
          <w:rStyle w:val="Znakapoznpodarou"/>
          <w:sz w:val="20"/>
          <w:szCs w:val="20"/>
        </w:rPr>
        <w:footnoteRef/>
      </w:r>
      <w:r w:rsidRPr="001C1B7F">
        <w:rPr>
          <w:sz w:val="20"/>
          <w:szCs w:val="20"/>
        </w:rPr>
        <w:t xml:space="preserve"> Zdroj: Oficiální stránky města Vysoké Mýto, dostupné na http://urad.vysoke-myto.cz/terenni-programy</w:t>
      </w:r>
    </w:p>
  </w:footnote>
  <w:footnote w:id="32">
    <w:p w:rsidR="00DD1FE0" w:rsidRPr="001E305B" w:rsidRDefault="00DD1FE0" w:rsidP="001C1B7F">
      <w:pPr>
        <w:rPr>
          <w:sz w:val="20"/>
          <w:szCs w:val="20"/>
        </w:rPr>
      </w:pPr>
      <w:r w:rsidRPr="001E305B">
        <w:rPr>
          <w:rStyle w:val="Znakapoznpodarou"/>
          <w:sz w:val="20"/>
          <w:szCs w:val="20"/>
        </w:rPr>
        <w:footnoteRef/>
      </w:r>
      <w:r w:rsidRPr="001E305B">
        <w:rPr>
          <w:sz w:val="20"/>
          <w:szCs w:val="20"/>
        </w:rPr>
        <w:t xml:space="preserve"> Zdroj: Oficiální stránky BERENIKA Vysoké Mýto o.p.s, dostupné na: http://www.berenika-vm.cz/</w:t>
      </w:r>
    </w:p>
  </w:footnote>
  <w:footnote w:id="33">
    <w:p w:rsidR="00DD1FE0" w:rsidRPr="009A1209" w:rsidRDefault="00DD1FE0" w:rsidP="009A1209">
      <w:pPr>
        <w:pStyle w:val="Textpoznpodarou"/>
      </w:pPr>
      <w:r>
        <w:rPr>
          <w:rStyle w:val="Znakapoznpodarou"/>
        </w:rPr>
        <w:footnoteRef/>
      </w:r>
      <w:r>
        <w:t xml:space="preserve"> </w:t>
      </w:r>
      <w:r w:rsidRPr="009A1209">
        <w:t>Zdroj</w:t>
      </w:r>
      <w:r>
        <w:t xml:space="preserve"> statistických údajů v kapitole</w:t>
      </w:r>
      <w:r w:rsidRPr="009A1209">
        <w:t>: ČSÚ, SLDB 2011</w:t>
      </w:r>
    </w:p>
    <w:p w:rsidR="00DD1FE0" w:rsidRDefault="00DD1FE0">
      <w:pPr>
        <w:pStyle w:val="Textpoznpodarou"/>
      </w:pPr>
    </w:p>
  </w:footnote>
  <w:footnote w:id="34">
    <w:p w:rsidR="00DD1FE0" w:rsidRDefault="00DD1FE0">
      <w:pPr>
        <w:pStyle w:val="Textpoznpodarou"/>
      </w:pPr>
      <w:r>
        <w:rPr>
          <w:rStyle w:val="Znakapoznpodarou"/>
        </w:rPr>
        <w:footnoteRef/>
      </w:r>
      <w:r>
        <w:t xml:space="preserve"> Zdroj statistických údajů: ČSÚ.; platnost: 31. 12. 2013</w:t>
      </w:r>
    </w:p>
  </w:footnote>
  <w:footnote w:id="35">
    <w:p w:rsidR="00DD1FE0" w:rsidRDefault="00DD1FE0">
      <w:pPr>
        <w:pStyle w:val="Textpoznpodarou"/>
      </w:pPr>
      <w:r>
        <w:rPr>
          <w:rStyle w:val="Znakapoznpodarou"/>
        </w:rPr>
        <w:footnoteRef/>
      </w:r>
      <w:r>
        <w:t xml:space="preserve"> Zdroj: ČSÚ; </w:t>
      </w:r>
      <w:r w:rsidRPr="00073FB0">
        <w:t>Počet zaměstnanců a průměrné hr</w:t>
      </w:r>
      <w:r>
        <w:t xml:space="preserve">ubé měsíční mzdy podle CZ-NUTS; </w:t>
      </w:r>
      <w:r w:rsidRPr="00073FB0">
        <w:t>http://www.czso.cz/csu/csu.nsf/informace/cpmz060514.docx</w:t>
      </w:r>
      <w:r>
        <w:t>.</w:t>
      </w:r>
    </w:p>
  </w:footnote>
  <w:footnote w:id="36">
    <w:p w:rsidR="00DD1FE0" w:rsidRDefault="00DD1FE0">
      <w:pPr>
        <w:pStyle w:val="Textpoznpodarou"/>
      </w:pPr>
      <w:r>
        <w:rPr>
          <w:rStyle w:val="Znakapoznpodarou"/>
        </w:rPr>
        <w:footnoteRef/>
      </w:r>
      <w:r>
        <w:t xml:space="preserve"> Negativními odpověďmi by totiž zástupci obcí negativně hodnotili také svou práci, čemuž se snaží pochopitelně vyhnout.</w:t>
      </w:r>
    </w:p>
  </w:footnote>
  <w:footnote w:id="37">
    <w:p w:rsidR="00DD1FE0" w:rsidRPr="000F3C2A" w:rsidRDefault="00DD1FE0">
      <w:pPr>
        <w:pStyle w:val="Textpoznpodarou"/>
      </w:pPr>
      <w:r w:rsidRPr="000F3C2A">
        <w:rPr>
          <w:rStyle w:val="Znakapoznpodarou"/>
        </w:rPr>
        <w:footnoteRef/>
      </w:r>
      <w:r w:rsidRPr="000F3C2A">
        <w:t xml:space="preserve"> Vyplývá to z dat Policie ČR (</w:t>
      </w:r>
      <w:hyperlink r:id="rId4" w:history="1">
        <w:r w:rsidRPr="000F3C2A">
          <w:rPr>
            <w:rStyle w:val="Hypertextovodkaz"/>
            <w:color w:val="auto"/>
          </w:rPr>
          <w:t>http://www.policie.cz/clanek/policie-cr-web-informacni-servis-statistiky-statisticke-prehledy.aspx</w:t>
        </w:r>
      </w:hyperlink>
      <w:r w:rsidRPr="000F3C2A">
        <w:t xml:space="preserve"> a ČSÚ </w:t>
      </w:r>
      <w:hyperlink r:id="rId5" w:history="1">
        <w:r w:rsidRPr="000F3C2A">
          <w:rPr>
            <w:rStyle w:val="Hypertextovodkaz"/>
            <w:color w:val="auto"/>
          </w:rPr>
          <w:t>http://vdb.czso.cz/vdbvo/tabparam.jsp?voa=tabulka&amp;cislotab=DEM0030PU_KR&amp;vo=tabulka&amp;kapitola_id=19</w:t>
        </w:r>
      </w:hyperlink>
      <w:r w:rsidRPr="000F3C2A">
        <w:t>).</w:t>
      </w:r>
    </w:p>
  </w:footnote>
  <w:footnote w:id="38">
    <w:p w:rsidR="00DD1FE0" w:rsidRPr="00FB558C" w:rsidRDefault="00DD1FE0" w:rsidP="000F3C2A">
      <w:pPr>
        <w:rPr>
          <w:sz w:val="20"/>
          <w:szCs w:val="20"/>
        </w:rPr>
      </w:pPr>
      <w:r w:rsidRPr="00FB558C">
        <w:rPr>
          <w:rStyle w:val="Znakapoznpodarou"/>
          <w:sz w:val="20"/>
          <w:szCs w:val="20"/>
        </w:rPr>
        <w:footnoteRef/>
      </w:r>
      <w:r w:rsidRPr="00FB558C">
        <w:rPr>
          <w:sz w:val="20"/>
          <w:szCs w:val="20"/>
        </w:rPr>
        <w:t xml:space="preserve"> Zdrojem těchto informací jsou rovněž statistik Policie ČR a ČSÚ(</w:t>
      </w:r>
      <w:hyperlink r:id="rId6" w:history="1">
        <w:r w:rsidRPr="00FB558C">
          <w:rPr>
            <w:rStyle w:val="Hypertextovodkaz"/>
            <w:color w:val="auto"/>
            <w:sz w:val="20"/>
            <w:szCs w:val="20"/>
          </w:rPr>
          <w:t>http://www.policie.cz/clanek/policie-cr-web-informacni-servis-statistiky-statisticke-prehledy.aspx</w:t>
        </w:r>
      </w:hyperlink>
      <w:r w:rsidRPr="00FB558C">
        <w:rPr>
          <w:sz w:val="20"/>
          <w:szCs w:val="20"/>
        </w:rPr>
        <w:t xml:space="preserve">, </w:t>
      </w:r>
      <w:hyperlink r:id="rId7" w:history="1">
        <w:r w:rsidRPr="00FB558C">
          <w:rPr>
            <w:rStyle w:val="Hypertextovodkaz"/>
            <w:color w:val="auto"/>
            <w:sz w:val="20"/>
            <w:szCs w:val="20"/>
          </w:rPr>
          <w:t>http://vdb.czso.cz/vdbvo/tabparam.jsp?voa=tabulka&amp;cislotab=DEM0030PU_KR&amp;vo=tabulka&amp;kapitola_id=19</w:t>
        </w:r>
      </w:hyperlink>
      <w:r w:rsidRPr="00FB558C">
        <w:rPr>
          <w:sz w:val="20"/>
          <w:szCs w:val="20"/>
        </w:rPr>
        <w:t>)</w:t>
      </w:r>
    </w:p>
  </w:footnote>
  <w:footnote w:id="39">
    <w:p w:rsidR="00DD1FE0" w:rsidRDefault="00DD1FE0">
      <w:pPr>
        <w:pStyle w:val="Textpoznpodarou"/>
      </w:pPr>
      <w:r>
        <w:rPr>
          <w:rStyle w:val="Znakapoznpodarou"/>
        </w:rPr>
        <w:footnoteRef/>
      </w:r>
      <w:r>
        <w:t xml:space="preserve"> </w:t>
      </w:r>
      <w:r w:rsidRPr="00FB558C">
        <w:t>Zdroj, ČSÚ</w:t>
      </w:r>
    </w:p>
  </w:footnote>
  <w:footnote w:id="40">
    <w:p w:rsidR="00D53CB0" w:rsidRDefault="00D53CB0" w:rsidP="00D53CB0">
      <w:pPr>
        <w:pStyle w:val="Textpoznpodarou"/>
      </w:pPr>
      <w:r>
        <w:rPr>
          <w:rStyle w:val="Znakapoznpodarou"/>
        </w:rPr>
        <w:footnoteRef/>
      </w:r>
      <w:r>
        <w:t xml:space="preserve"> Podoblasti lze ekvivalentně přirovnat ke specifickým cílům.</w:t>
      </w:r>
    </w:p>
  </w:footnote>
  <w:footnote w:id="41">
    <w:p w:rsidR="00D53CB0" w:rsidRDefault="00D53CB0" w:rsidP="00D53CB0">
      <w:pPr>
        <w:pStyle w:val="Textpoznpodarou"/>
      </w:pPr>
      <w:r>
        <w:rPr>
          <w:rStyle w:val="Znakapoznpodarou"/>
        </w:rPr>
        <w:footnoteRef/>
      </w:r>
      <w:r>
        <w:t xml:space="preserve"> NČI 2014+ (Národní číselník indikátorů 2014+)</w:t>
      </w:r>
    </w:p>
  </w:footnote>
  <w:footnote w:id="42">
    <w:p w:rsidR="00DD1FE0" w:rsidRDefault="00DD1FE0" w:rsidP="00A92273">
      <w:pPr>
        <w:pStyle w:val="Textpoznpodarou"/>
      </w:pPr>
      <w:r>
        <w:rPr>
          <w:rStyle w:val="Znakapoznpodarou"/>
        </w:rPr>
        <w:footnoteRef/>
      </w:r>
      <w:r>
        <w:t xml:space="preserve"> MAS je v podmínkách MAS Litomyšlsko o.p.s. organizační složkou v rámci právnické osoby.Viz obrázek v části 4.1.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FE0" w:rsidRPr="000066EE" w:rsidRDefault="00DD1FE0" w:rsidP="000066EE">
    <w:pPr>
      <w:pStyle w:val="Zhlav"/>
      <w:jc w:val="center"/>
    </w:pPr>
    <w:r>
      <w:rPr>
        <w:noProof/>
        <w:lang w:eastAsia="cs-CZ"/>
      </w:rPr>
      <w:drawing>
        <wp:inline distT="0" distB="0" distL="0" distR="0">
          <wp:extent cx="5276850" cy="457200"/>
          <wp:effectExtent l="19050" t="0" r="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276850" cy="4572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0000007"/>
    <w:multiLevelType w:val="singleLevel"/>
    <w:tmpl w:val="00000007"/>
    <w:name w:val="WW8Num10"/>
    <w:lvl w:ilvl="0">
      <w:start w:val="1"/>
      <w:numFmt w:val="bullet"/>
      <w:lvlText w:val=""/>
      <w:lvlJc w:val="left"/>
      <w:pPr>
        <w:tabs>
          <w:tab w:val="num" w:pos="0"/>
        </w:tabs>
        <w:ind w:left="360" w:hanging="360"/>
      </w:pPr>
      <w:rPr>
        <w:rFonts w:ascii="Symbol" w:hAnsi="Symbol" w:cs="Symbol"/>
        <w:color w:val="000000"/>
        <w:lang w:eastAsia="cs-CZ"/>
      </w:rPr>
    </w:lvl>
  </w:abstractNum>
  <w:abstractNum w:abstractNumId="2">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8">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9">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1">
    <w:nsid w:val="00000019"/>
    <w:multiLevelType w:val="multilevel"/>
    <w:tmpl w:val="00000019"/>
    <w:name w:val="WW8Num25"/>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1800"/>
        </w:tabs>
        <w:ind w:left="1800" w:hanging="360"/>
      </w:pPr>
      <w:rPr>
        <w:rFonts w:ascii="Symbol" w:hAnsi="Symbol" w:cs="StarSymbol"/>
        <w:sz w:val="18"/>
        <w:szCs w:val="18"/>
      </w:rPr>
    </w:lvl>
    <w:lvl w:ilvl="3">
      <w:start w:val="1"/>
      <w:numFmt w:val="bullet"/>
      <w:lvlText w:val=""/>
      <w:lvlJc w:val="left"/>
      <w:pPr>
        <w:tabs>
          <w:tab w:val="num" w:pos="2160"/>
        </w:tabs>
        <w:ind w:left="2160" w:hanging="360"/>
      </w:pPr>
      <w:rPr>
        <w:rFonts w:ascii="Symbol" w:hAnsi="Symbol" w:cs="StarSymbol"/>
        <w:sz w:val="18"/>
        <w:szCs w:val="18"/>
      </w:rPr>
    </w:lvl>
    <w:lvl w:ilvl="4">
      <w:start w:val="1"/>
      <w:numFmt w:val="bullet"/>
      <w:lvlText w:val=""/>
      <w:lvlJc w:val="left"/>
      <w:pPr>
        <w:tabs>
          <w:tab w:val="num" w:pos="2520"/>
        </w:tabs>
        <w:ind w:left="2520" w:hanging="360"/>
      </w:pPr>
      <w:rPr>
        <w:rFonts w:ascii="Symbol" w:hAnsi="Symbol" w:cs="StarSymbol"/>
        <w:sz w:val="18"/>
        <w:szCs w:val="18"/>
      </w:rPr>
    </w:lvl>
    <w:lvl w:ilvl="5">
      <w:start w:val="1"/>
      <w:numFmt w:val="bullet"/>
      <w:lvlText w:val=""/>
      <w:lvlJc w:val="left"/>
      <w:pPr>
        <w:tabs>
          <w:tab w:val="num" w:pos="2880"/>
        </w:tabs>
        <w:ind w:left="2880" w:hanging="360"/>
      </w:pPr>
      <w:rPr>
        <w:rFonts w:ascii="Symbol" w:hAnsi="Symbol" w:cs="StarSymbol"/>
        <w:sz w:val="18"/>
        <w:szCs w:val="18"/>
      </w:rPr>
    </w:lvl>
    <w:lvl w:ilvl="6">
      <w:start w:val="1"/>
      <w:numFmt w:val="bullet"/>
      <w:lvlText w:val=""/>
      <w:lvlJc w:val="left"/>
      <w:pPr>
        <w:tabs>
          <w:tab w:val="num" w:pos="3240"/>
        </w:tabs>
        <w:ind w:left="3240" w:hanging="360"/>
      </w:pPr>
      <w:rPr>
        <w:rFonts w:ascii="Symbol" w:hAnsi="Symbol" w:cs="StarSymbol"/>
        <w:sz w:val="18"/>
        <w:szCs w:val="18"/>
      </w:rPr>
    </w:lvl>
    <w:lvl w:ilvl="7">
      <w:start w:val="1"/>
      <w:numFmt w:val="bullet"/>
      <w:lvlText w:val=""/>
      <w:lvlJc w:val="left"/>
      <w:pPr>
        <w:tabs>
          <w:tab w:val="num" w:pos="3600"/>
        </w:tabs>
        <w:ind w:left="3600" w:hanging="360"/>
      </w:pPr>
      <w:rPr>
        <w:rFonts w:ascii="Symbol" w:hAnsi="Symbol" w:cs="StarSymbol"/>
        <w:sz w:val="18"/>
        <w:szCs w:val="18"/>
      </w:rPr>
    </w:lvl>
    <w:lvl w:ilvl="8">
      <w:start w:val="1"/>
      <w:numFmt w:val="bullet"/>
      <w:lvlText w:val=""/>
      <w:lvlJc w:val="left"/>
      <w:pPr>
        <w:tabs>
          <w:tab w:val="num" w:pos="3960"/>
        </w:tabs>
        <w:ind w:left="3960" w:hanging="360"/>
      </w:pPr>
      <w:rPr>
        <w:rFonts w:ascii="Symbol" w:hAnsi="Symbol" w:cs="StarSymbol"/>
        <w:sz w:val="18"/>
        <w:szCs w:val="18"/>
      </w:rPr>
    </w:lvl>
  </w:abstractNum>
  <w:abstractNum w:abstractNumId="12">
    <w:nsid w:val="0000001A"/>
    <w:multiLevelType w:val="multilevel"/>
    <w:tmpl w:val="0000001A"/>
    <w:name w:val="WW8Num26"/>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1800"/>
        </w:tabs>
        <w:ind w:left="1800" w:hanging="360"/>
      </w:pPr>
      <w:rPr>
        <w:rFonts w:ascii="Symbol" w:hAnsi="Symbol" w:cs="StarSymbol"/>
        <w:sz w:val="18"/>
        <w:szCs w:val="18"/>
      </w:rPr>
    </w:lvl>
    <w:lvl w:ilvl="3">
      <w:start w:val="1"/>
      <w:numFmt w:val="bullet"/>
      <w:lvlText w:val=""/>
      <w:lvlJc w:val="left"/>
      <w:pPr>
        <w:tabs>
          <w:tab w:val="num" w:pos="2160"/>
        </w:tabs>
        <w:ind w:left="2160" w:hanging="360"/>
      </w:pPr>
      <w:rPr>
        <w:rFonts w:ascii="Symbol" w:hAnsi="Symbol" w:cs="StarSymbol"/>
        <w:sz w:val="18"/>
        <w:szCs w:val="18"/>
      </w:rPr>
    </w:lvl>
    <w:lvl w:ilvl="4">
      <w:start w:val="1"/>
      <w:numFmt w:val="bullet"/>
      <w:lvlText w:val=""/>
      <w:lvlJc w:val="left"/>
      <w:pPr>
        <w:tabs>
          <w:tab w:val="num" w:pos="2520"/>
        </w:tabs>
        <w:ind w:left="2520" w:hanging="360"/>
      </w:pPr>
      <w:rPr>
        <w:rFonts w:ascii="Symbol" w:hAnsi="Symbol" w:cs="StarSymbol"/>
        <w:sz w:val="18"/>
        <w:szCs w:val="18"/>
      </w:rPr>
    </w:lvl>
    <w:lvl w:ilvl="5">
      <w:start w:val="1"/>
      <w:numFmt w:val="bullet"/>
      <w:lvlText w:val=""/>
      <w:lvlJc w:val="left"/>
      <w:pPr>
        <w:tabs>
          <w:tab w:val="num" w:pos="2880"/>
        </w:tabs>
        <w:ind w:left="2880" w:hanging="360"/>
      </w:pPr>
      <w:rPr>
        <w:rFonts w:ascii="Symbol" w:hAnsi="Symbol" w:cs="StarSymbol"/>
        <w:sz w:val="18"/>
        <w:szCs w:val="18"/>
      </w:rPr>
    </w:lvl>
    <w:lvl w:ilvl="6">
      <w:start w:val="1"/>
      <w:numFmt w:val="bullet"/>
      <w:lvlText w:val=""/>
      <w:lvlJc w:val="left"/>
      <w:pPr>
        <w:tabs>
          <w:tab w:val="num" w:pos="3240"/>
        </w:tabs>
        <w:ind w:left="3240" w:hanging="360"/>
      </w:pPr>
      <w:rPr>
        <w:rFonts w:ascii="Symbol" w:hAnsi="Symbol" w:cs="StarSymbol"/>
        <w:sz w:val="18"/>
        <w:szCs w:val="18"/>
      </w:rPr>
    </w:lvl>
    <w:lvl w:ilvl="7">
      <w:start w:val="1"/>
      <w:numFmt w:val="bullet"/>
      <w:lvlText w:val=""/>
      <w:lvlJc w:val="left"/>
      <w:pPr>
        <w:tabs>
          <w:tab w:val="num" w:pos="3600"/>
        </w:tabs>
        <w:ind w:left="3600" w:hanging="360"/>
      </w:pPr>
      <w:rPr>
        <w:rFonts w:ascii="Symbol" w:hAnsi="Symbol" w:cs="StarSymbol"/>
        <w:sz w:val="18"/>
        <w:szCs w:val="18"/>
      </w:rPr>
    </w:lvl>
    <w:lvl w:ilvl="8">
      <w:start w:val="1"/>
      <w:numFmt w:val="bullet"/>
      <w:lvlText w:val=""/>
      <w:lvlJc w:val="left"/>
      <w:pPr>
        <w:tabs>
          <w:tab w:val="num" w:pos="3960"/>
        </w:tabs>
        <w:ind w:left="3960" w:hanging="360"/>
      </w:pPr>
      <w:rPr>
        <w:rFonts w:ascii="Symbol" w:hAnsi="Symbol" w:cs="StarSymbol"/>
        <w:sz w:val="18"/>
        <w:szCs w:val="18"/>
      </w:rPr>
    </w:lvl>
  </w:abstractNum>
  <w:abstractNum w:abstractNumId="13">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4">
    <w:nsid w:val="0000001C"/>
    <w:multiLevelType w:val="multilevel"/>
    <w:tmpl w:val="0000001C"/>
    <w:name w:val="WW8Num28"/>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1800"/>
        </w:tabs>
        <w:ind w:left="1800" w:hanging="360"/>
      </w:pPr>
      <w:rPr>
        <w:rFonts w:ascii="Symbol" w:hAnsi="Symbol" w:cs="StarSymbol"/>
        <w:sz w:val="18"/>
        <w:szCs w:val="18"/>
      </w:rPr>
    </w:lvl>
    <w:lvl w:ilvl="3">
      <w:start w:val="1"/>
      <w:numFmt w:val="bullet"/>
      <w:lvlText w:val=""/>
      <w:lvlJc w:val="left"/>
      <w:pPr>
        <w:tabs>
          <w:tab w:val="num" w:pos="2160"/>
        </w:tabs>
        <w:ind w:left="2160" w:hanging="360"/>
      </w:pPr>
      <w:rPr>
        <w:rFonts w:ascii="Symbol" w:hAnsi="Symbol" w:cs="StarSymbol"/>
        <w:sz w:val="18"/>
        <w:szCs w:val="18"/>
      </w:rPr>
    </w:lvl>
    <w:lvl w:ilvl="4">
      <w:start w:val="1"/>
      <w:numFmt w:val="bullet"/>
      <w:lvlText w:val=""/>
      <w:lvlJc w:val="left"/>
      <w:pPr>
        <w:tabs>
          <w:tab w:val="num" w:pos="2520"/>
        </w:tabs>
        <w:ind w:left="2520" w:hanging="360"/>
      </w:pPr>
      <w:rPr>
        <w:rFonts w:ascii="Symbol" w:hAnsi="Symbol" w:cs="StarSymbol"/>
        <w:sz w:val="18"/>
        <w:szCs w:val="18"/>
      </w:rPr>
    </w:lvl>
    <w:lvl w:ilvl="5">
      <w:start w:val="1"/>
      <w:numFmt w:val="bullet"/>
      <w:lvlText w:val=""/>
      <w:lvlJc w:val="left"/>
      <w:pPr>
        <w:tabs>
          <w:tab w:val="num" w:pos="2880"/>
        </w:tabs>
        <w:ind w:left="2880" w:hanging="360"/>
      </w:pPr>
      <w:rPr>
        <w:rFonts w:ascii="Symbol" w:hAnsi="Symbol" w:cs="StarSymbol"/>
        <w:sz w:val="18"/>
        <w:szCs w:val="18"/>
      </w:rPr>
    </w:lvl>
    <w:lvl w:ilvl="6">
      <w:start w:val="1"/>
      <w:numFmt w:val="bullet"/>
      <w:lvlText w:val=""/>
      <w:lvlJc w:val="left"/>
      <w:pPr>
        <w:tabs>
          <w:tab w:val="num" w:pos="3240"/>
        </w:tabs>
        <w:ind w:left="3240" w:hanging="360"/>
      </w:pPr>
      <w:rPr>
        <w:rFonts w:ascii="Symbol" w:hAnsi="Symbol" w:cs="StarSymbol"/>
        <w:sz w:val="18"/>
        <w:szCs w:val="18"/>
      </w:rPr>
    </w:lvl>
    <w:lvl w:ilvl="7">
      <w:start w:val="1"/>
      <w:numFmt w:val="bullet"/>
      <w:lvlText w:val=""/>
      <w:lvlJc w:val="left"/>
      <w:pPr>
        <w:tabs>
          <w:tab w:val="num" w:pos="3600"/>
        </w:tabs>
        <w:ind w:left="3600" w:hanging="360"/>
      </w:pPr>
      <w:rPr>
        <w:rFonts w:ascii="Symbol" w:hAnsi="Symbol" w:cs="StarSymbol"/>
        <w:sz w:val="18"/>
        <w:szCs w:val="18"/>
      </w:rPr>
    </w:lvl>
    <w:lvl w:ilvl="8">
      <w:start w:val="1"/>
      <w:numFmt w:val="bullet"/>
      <w:lvlText w:val=""/>
      <w:lvlJc w:val="left"/>
      <w:pPr>
        <w:tabs>
          <w:tab w:val="num" w:pos="3960"/>
        </w:tabs>
        <w:ind w:left="3960" w:hanging="360"/>
      </w:pPr>
      <w:rPr>
        <w:rFonts w:ascii="Symbol" w:hAnsi="Symbol" w:cs="StarSymbol"/>
        <w:sz w:val="18"/>
        <w:szCs w:val="18"/>
      </w:rPr>
    </w:lvl>
  </w:abstractNum>
  <w:abstractNum w:abstractNumId="15">
    <w:nsid w:val="0000001D"/>
    <w:multiLevelType w:val="multilevel"/>
    <w:tmpl w:val="0000001D"/>
    <w:name w:val="WW8Num2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6">
    <w:nsid w:val="0000001E"/>
    <w:multiLevelType w:val="multilevel"/>
    <w:tmpl w:val="0000001E"/>
    <w:name w:val="WW8Num30"/>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1800"/>
        </w:tabs>
        <w:ind w:left="1800" w:hanging="360"/>
      </w:pPr>
      <w:rPr>
        <w:rFonts w:ascii="Symbol" w:hAnsi="Symbol" w:cs="StarSymbol"/>
        <w:sz w:val="18"/>
        <w:szCs w:val="18"/>
      </w:rPr>
    </w:lvl>
    <w:lvl w:ilvl="3">
      <w:start w:val="1"/>
      <w:numFmt w:val="bullet"/>
      <w:lvlText w:val=""/>
      <w:lvlJc w:val="left"/>
      <w:pPr>
        <w:tabs>
          <w:tab w:val="num" w:pos="2160"/>
        </w:tabs>
        <w:ind w:left="2160" w:hanging="360"/>
      </w:pPr>
      <w:rPr>
        <w:rFonts w:ascii="Symbol" w:hAnsi="Symbol" w:cs="StarSymbol"/>
        <w:sz w:val="18"/>
        <w:szCs w:val="18"/>
      </w:rPr>
    </w:lvl>
    <w:lvl w:ilvl="4">
      <w:start w:val="1"/>
      <w:numFmt w:val="bullet"/>
      <w:lvlText w:val=""/>
      <w:lvlJc w:val="left"/>
      <w:pPr>
        <w:tabs>
          <w:tab w:val="num" w:pos="2520"/>
        </w:tabs>
        <w:ind w:left="2520" w:hanging="360"/>
      </w:pPr>
      <w:rPr>
        <w:rFonts w:ascii="Symbol" w:hAnsi="Symbol" w:cs="StarSymbol"/>
        <w:sz w:val="18"/>
        <w:szCs w:val="18"/>
      </w:rPr>
    </w:lvl>
    <w:lvl w:ilvl="5">
      <w:start w:val="1"/>
      <w:numFmt w:val="bullet"/>
      <w:lvlText w:val=""/>
      <w:lvlJc w:val="left"/>
      <w:pPr>
        <w:tabs>
          <w:tab w:val="num" w:pos="2880"/>
        </w:tabs>
        <w:ind w:left="2880" w:hanging="360"/>
      </w:pPr>
      <w:rPr>
        <w:rFonts w:ascii="Symbol" w:hAnsi="Symbol" w:cs="StarSymbol"/>
        <w:sz w:val="18"/>
        <w:szCs w:val="18"/>
      </w:rPr>
    </w:lvl>
    <w:lvl w:ilvl="6">
      <w:start w:val="1"/>
      <w:numFmt w:val="bullet"/>
      <w:lvlText w:val=""/>
      <w:lvlJc w:val="left"/>
      <w:pPr>
        <w:tabs>
          <w:tab w:val="num" w:pos="3240"/>
        </w:tabs>
        <w:ind w:left="3240" w:hanging="360"/>
      </w:pPr>
      <w:rPr>
        <w:rFonts w:ascii="Symbol" w:hAnsi="Symbol" w:cs="StarSymbol"/>
        <w:sz w:val="18"/>
        <w:szCs w:val="18"/>
      </w:rPr>
    </w:lvl>
    <w:lvl w:ilvl="7">
      <w:start w:val="1"/>
      <w:numFmt w:val="bullet"/>
      <w:lvlText w:val=""/>
      <w:lvlJc w:val="left"/>
      <w:pPr>
        <w:tabs>
          <w:tab w:val="num" w:pos="3600"/>
        </w:tabs>
        <w:ind w:left="3600" w:hanging="360"/>
      </w:pPr>
      <w:rPr>
        <w:rFonts w:ascii="Symbol" w:hAnsi="Symbol" w:cs="StarSymbol"/>
        <w:sz w:val="18"/>
        <w:szCs w:val="18"/>
      </w:rPr>
    </w:lvl>
    <w:lvl w:ilvl="8">
      <w:start w:val="1"/>
      <w:numFmt w:val="bullet"/>
      <w:lvlText w:val=""/>
      <w:lvlJc w:val="left"/>
      <w:pPr>
        <w:tabs>
          <w:tab w:val="num" w:pos="3960"/>
        </w:tabs>
        <w:ind w:left="3960" w:hanging="360"/>
      </w:pPr>
      <w:rPr>
        <w:rFonts w:ascii="Symbol" w:hAnsi="Symbol" w:cs="StarSymbol"/>
        <w:sz w:val="18"/>
        <w:szCs w:val="18"/>
      </w:rPr>
    </w:lvl>
  </w:abstractNum>
  <w:abstractNum w:abstractNumId="17">
    <w:nsid w:val="0000001F"/>
    <w:multiLevelType w:val="multilevel"/>
    <w:tmpl w:val="0000001F"/>
    <w:name w:val="WW8Num3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8">
    <w:nsid w:val="00000020"/>
    <w:multiLevelType w:val="multilevel"/>
    <w:tmpl w:val="00000020"/>
    <w:name w:val="WW8Num32"/>
    <w:lvl w:ilvl="0">
      <w:start w:val="1"/>
      <w:numFmt w:val="bullet"/>
      <w:lvlText w:val=""/>
      <w:lvlJc w:val="left"/>
      <w:pPr>
        <w:tabs>
          <w:tab w:val="num" w:pos="1080"/>
        </w:tabs>
        <w:ind w:left="1080" w:hanging="360"/>
      </w:pPr>
      <w:rPr>
        <w:rFonts w:ascii="Symbol" w:hAnsi="Symbol" w:cs="StarSymbol"/>
        <w:sz w:val="18"/>
        <w:szCs w:val="18"/>
      </w:rPr>
    </w:lvl>
    <w:lvl w:ilvl="1">
      <w:start w:val="1"/>
      <w:numFmt w:val="bullet"/>
      <w:lvlText w:val=""/>
      <w:lvlJc w:val="left"/>
      <w:pPr>
        <w:tabs>
          <w:tab w:val="num" w:pos="1440"/>
        </w:tabs>
        <w:ind w:left="1440" w:hanging="360"/>
      </w:pPr>
      <w:rPr>
        <w:rFonts w:ascii="Symbol" w:hAnsi="Symbol" w:cs="StarSymbol"/>
        <w:sz w:val="18"/>
        <w:szCs w:val="18"/>
      </w:rPr>
    </w:lvl>
    <w:lvl w:ilvl="2">
      <w:start w:val="1"/>
      <w:numFmt w:val="bullet"/>
      <w:lvlText w:val=""/>
      <w:lvlJc w:val="left"/>
      <w:pPr>
        <w:tabs>
          <w:tab w:val="num" w:pos="1800"/>
        </w:tabs>
        <w:ind w:left="1800" w:hanging="360"/>
      </w:pPr>
      <w:rPr>
        <w:rFonts w:ascii="Symbol" w:hAnsi="Symbol" w:cs="StarSymbol"/>
        <w:sz w:val="18"/>
        <w:szCs w:val="18"/>
      </w:rPr>
    </w:lvl>
    <w:lvl w:ilvl="3">
      <w:start w:val="1"/>
      <w:numFmt w:val="bullet"/>
      <w:lvlText w:val=""/>
      <w:lvlJc w:val="left"/>
      <w:pPr>
        <w:tabs>
          <w:tab w:val="num" w:pos="2160"/>
        </w:tabs>
        <w:ind w:left="2160" w:hanging="360"/>
      </w:pPr>
      <w:rPr>
        <w:rFonts w:ascii="Symbol" w:hAnsi="Symbol" w:cs="StarSymbol"/>
        <w:sz w:val="18"/>
        <w:szCs w:val="18"/>
      </w:rPr>
    </w:lvl>
    <w:lvl w:ilvl="4">
      <w:start w:val="1"/>
      <w:numFmt w:val="bullet"/>
      <w:lvlText w:val=""/>
      <w:lvlJc w:val="left"/>
      <w:pPr>
        <w:tabs>
          <w:tab w:val="num" w:pos="2520"/>
        </w:tabs>
        <w:ind w:left="2520" w:hanging="360"/>
      </w:pPr>
      <w:rPr>
        <w:rFonts w:ascii="Symbol" w:hAnsi="Symbol" w:cs="StarSymbol"/>
        <w:sz w:val="18"/>
        <w:szCs w:val="18"/>
      </w:rPr>
    </w:lvl>
    <w:lvl w:ilvl="5">
      <w:start w:val="1"/>
      <w:numFmt w:val="bullet"/>
      <w:lvlText w:val=""/>
      <w:lvlJc w:val="left"/>
      <w:pPr>
        <w:tabs>
          <w:tab w:val="num" w:pos="2880"/>
        </w:tabs>
        <w:ind w:left="2880" w:hanging="360"/>
      </w:pPr>
      <w:rPr>
        <w:rFonts w:ascii="Symbol" w:hAnsi="Symbol" w:cs="StarSymbol"/>
        <w:sz w:val="18"/>
        <w:szCs w:val="18"/>
      </w:rPr>
    </w:lvl>
    <w:lvl w:ilvl="6">
      <w:start w:val="1"/>
      <w:numFmt w:val="bullet"/>
      <w:lvlText w:val=""/>
      <w:lvlJc w:val="left"/>
      <w:pPr>
        <w:tabs>
          <w:tab w:val="num" w:pos="3240"/>
        </w:tabs>
        <w:ind w:left="3240" w:hanging="360"/>
      </w:pPr>
      <w:rPr>
        <w:rFonts w:ascii="Symbol" w:hAnsi="Symbol" w:cs="StarSymbol"/>
        <w:sz w:val="18"/>
        <w:szCs w:val="18"/>
      </w:rPr>
    </w:lvl>
    <w:lvl w:ilvl="7">
      <w:start w:val="1"/>
      <w:numFmt w:val="bullet"/>
      <w:lvlText w:val=""/>
      <w:lvlJc w:val="left"/>
      <w:pPr>
        <w:tabs>
          <w:tab w:val="num" w:pos="3600"/>
        </w:tabs>
        <w:ind w:left="3600" w:hanging="360"/>
      </w:pPr>
      <w:rPr>
        <w:rFonts w:ascii="Symbol" w:hAnsi="Symbol" w:cs="StarSymbol"/>
        <w:sz w:val="18"/>
        <w:szCs w:val="18"/>
      </w:rPr>
    </w:lvl>
    <w:lvl w:ilvl="8">
      <w:start w:val="1"/>
      <w:numFmt w:val="bullet"/>
      <w:lvlText w:val=""/>
      <w:lvlJc w:val="left"/>
      <w:pPr>
        <w:tabs>
          <w:tab w:val="num" w:pos="3960"/>
        </w:tabs>
        <w:ind w:left="3960" w:hanging="360"/>
      </w:pPr>
      <w:rPr>
        <w:rFonts w:ascii="Symbol" w:hAnsi="Symbol" w:cs="StarSymbol"/>
        <w:sz w:val="18"/>
        <w:szCs w:val="18"/>
      </w:rPr>
    </w:lvl>
  </w:abstractNum>
  <w:abstractNum w:abstractNumId="19">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0">
    <w:nsid w:val="00000022"/>
    <w:multiLevelType w:val="multilevel"/>
    <w:tmpl w:val="00000022"/>
    <w:name w:val="WW8Num3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1">
    <w:nsid w:val="00000023"/>
    <w:multiLevelType w:val="multilevel"/>
    <w:tmpl w:val="00000023"/>
    <w:name w:val="WW8Num3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2">
    <w:nsid w:val="00000024"/>
    <w:multiLevelType w:val="multilevel"/>
    <w:tmpl w:val="00000024"/>
    <w:name w:val="WW8Num3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3">
    <w:nsid w:val="00000025"/>
    <w:multiLevelType w:val="multilevel"/>
    <w:tmpl w:val="00000025"/>
    <w:name w:val="WW8Num3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4">
    <w:nsid w:val="00000026"/>
    <w:multiLevelType w:val="multilevel"/>
    <w:tmpl w:val="00000026"/>
    <w:name w:val="WW8Num3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5">
    <w:nsid w:val="00000027"/>
    <w:multiLevelType w:val="multilevel"/>
    <w:tmpl w:val="00000027"/>
    <w:name w:val="WW8Num3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6">
    <w:nsid w:val="00000028"/>
    <w:multiLevelType w:val="multilevel"/>
    <w:tmpl w:val="00000028"/>
    <w:name w:val="WW8Num4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7">
    <w:nsid w:val="0000002E"/>
    <w:multiLevelType w:val="multilevel"/>
    <w:tmpl w:val="0000002E"/>
    <w:name w:val="WW8Num4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8">
    <w:nsid w:val="0000002F"/>
    <w:multiLevelType w:val="multilevel"/>
    <w:tmpl w:val="0000002F"/>
    <w:name w:val="WW8Num4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9">
    <w:nsid w:val="00000030"/>
    <w:multiLevelType w:val="multilevel"/>
    <w:tmpl w:val="00000030"/>
    <w:name w:val="WW8Num4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0">
    <w:nsid w:val="00927D31"/>
    <w:multiLevelType w:val="multilevel"/>
    <w:tmpl w:val="4C7ECB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014A3141"/>
    <w:multiLevelType w:val="hybridMultilevel"/>
    <w:tmpl w:val="913AF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025A6244"/>
    <w:multiLevelType w:val="hybridMultilevel"/>
    <w:tmpl w:val="3020BDB0"/>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nsid w:val="06824A76"/>
    <w:multiLevelType w:val="hybridMultilevel"/>
    <w:tmpl w:val="B718BA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086835E6"/>
    <w:multiLevelType w:val="hybridMultilevel"/>
    <w:tmpl w:val="DDDA7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0B0276B0"/>
    <w:multiLevelType w:val="hybridMultilevel"/>
    <w:tmpl w:val="08A01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0FDD45AE"/>
    <w:multiLevelType w:val="hybridMultilevel"/>
    <w:tmpl w:val="EAD6B6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102F14D3"/>
    <w:multiLevelType w:val="hybridMultilevel"/>
    <w:tmpl w:val="3DD8D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135A1F67"/>
    <w:multiLevelType w:val="hybridMultilevel"/>
    <w:tmpl w:val="E4EAA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13932E76"/>
    <w:multiLevelType w:val="hybridMultilevel"/>
    <w:tmpl w:val="C22459C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143D14CA"/>
    <w:multiLevelType w:val="hybridMultilevel"/>
    <w:tmpl w:val="87845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148A1DF3"/>
    <w:multiLevelType w:val="hybridMultilevel"/>
    <w:tmpl w:val="280EF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15C73658"/>
    <w:multiLevelType w:val="hybridMultilevel"/>
    <w:tmpl w:val="3F1C8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167E23E8"/>
    <w:multiLevelType w:val="hybridMultilevel"/>
    <w:tmpl w:val="EEE2FA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16BD783B"/>
    <w:multiLevelType w:val="hybridMultilevel"/>
    <w:tmpl w:val="6A6657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nsid w:val="175B2BC7"/>
    <w:multiLevelType w:val="hybridMultilevel"/>
    <w:tmpl w:val="7F30C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17FD78A2"/>
    <w:multiLevelType w:val="hybridMultilevel"/>
    <w:tmpl w:val="28DCDA00"/>
    <w:lvl w:ilvl="0" w:tplc="3CE2F58C">
      <w:start w:val="1"/>
      <w:numFmt w:val="ordin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7">
    <w:nsid w:val="1BF65CAD"/>
    <w:multiLevelType w:val="hybridMultilevel"/>
    <w:tmpl w:val="E32490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1D2D7F0B"/>
    <w:multiLevelType w:val="hybridMultilevel"/>
    <w:tmpl w:val="1C44B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211B3655"/>
    <w:multiLevelType w:val="multilevel"/>
    <w:tmpl w:val="93F21DAE"/>
    <w:lvl w:ilvl="0">
      <w:start w:val="1"/>
      <w:numFmt w:val="decimal"/>
      <w:lvlText w:val="%1."/>
      <w:lvlJc w:val="left"/>
      <w:pPr>
        <w:ind w:left="720" w:hanging="360"/>
      </w:pPr>
      <w:rPr>
        <w:rFonts w:hint="default"/>
      </w:rPr>
    </w:lvl>
    <w:lvl w:ilvl="1">
      <w:start w:val="5"/>
      <w:numFmt w:val="bullet"/>
      <w:lvlText w:val=""/>
      <w:lvlJc w:val="left"/>
      <w:pPr>
        <w:ind w:left="1440" w:hanging="360"/>
      </w:pPr>
      <w:rPr>
        <w:rFonts w:ascii="Calibri" w:eastAsia="Times New Roman" w:hAnsi="Calibr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217D69A5"/>
    <w:multiLevelType w:val="hybridMultilevel"/>
    <w:tmpl w:val="6CBCE8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5C5202C"/>
    <w:multiLevelType w:val="hybridMultilevel"/>
    <w:tmpl w:val="039E1D0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2">
    <w:nsid w:val="266E7F05"/>
    <w:multiLevelType w:val="hybridMultilevel"/>
    <w:tmpl w:val="93C0B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26A12E1D"/>
    <w:multiLevelType w:val="hybridMultilevel"/>
    <w:tmpl w:val="71343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27D95FCE"/>
    <w:multiLevelType w:val="hybridMultilevel"/>
    <w:tmpl w:val="38F8E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2A1E013D"/>
    <w:multiLevelType w:val="hybridMultilevel"/>
    <w:tmpl w:val="0CC2E2B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6">
    <w:nsid w:val="2F4241CF"/>
    <w:multiLevelType w:val="multilevel"/>
    <w:tmpl w:val="C1F6B2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0666417"/>
    <w:multiLevelType w:val="hybridMultilevel"/>
    <w:tmpl w:val="8D487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33632A2F"/>
    <w:multiLevelType w:val="hybridMultilevel"/>
    <w:tmpl w:val="F8325C98"/>
    <w:lvl w:ilvl="0" w:tplc="AC76C8B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3E04E27"/>
    <w:multiLevelType w:val="hybridMultilevel"/>
    <w:tmpl w:val="D1C299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346701ED"/>
    <w:multiLevelType w:val="hybridMultilevel"/>
    <w:tmpl w:val="140ED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4E03BF1"/>
    <w:multiLevelType w:val="hybridMultilevel"/>
    <w:tmpl w:val="B406C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34F1354C"/>
    <w:multiLevelType w:val="hybridMultilevel"/>
    <w:tmpl w:val="B9B4D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35676CC2"/>
    <w:multiLevelType w:val="hybridMultilevel"/>
    <w:tmpl w:val="33B86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363B3664"/>
    <w:multiLevelType w:val="hybridMultilevel"/>
    <w:tmpl w:val="C658D9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373A7214"/>
    <w:multiLevelType w:val="hybridMultilevel"/>
    <w:tmpl w:val="5B928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7805C53"/>
    <w:multiLevelType w:val="hybridMultilevel"/>
    <w:tmpl w:val="286E6258"/>
    <w:lvl w:ilvl="0" w:tplc="AC76C8B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3CF3678D"/>
    <w:multiLevelType w:val="hybridMultilevel"/>
    <w:tmpl w:val="9CC47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3D0A7104"/>
    <w:multiLevelType w:val="hybridMultilevel"/>
    <w:tmpl w:val="D9BED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3D907975"/>
    <w:multiLevelType w:val="hybridMultilevel"/>
    <w:tmpl w:val="906CF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3ECC48CE"/>
    <w:multiLevelType w:val="hybridMultilevel"/>
    <w:tmpl w:val="9618AE5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1">
    <w:nsid w:val="3FA8455D"/>
    <w:multiLevelType w:val="hybridMultilevel"/>
    <w:tmpl w:val="7BE6B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3FA97203"/>
    <w:multiLevelType w:val="hybridMultilevel"/>
    <w:tmpl w:val="28DCDA00"/>
    <w:lvl w:ilvl="0" w:tplc="3CE2F58C">
      <w:start w:val="1"/>
      <w:numFmt w:val="ordin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3">
    <w:nsid w:val="41190E86"/>
    <w:multiLevelType w:val="hybridMultilevel"/>
    <w:tmpl w:val="4F7EE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30E2396"/>
    <w:multiLevelType w:val="hybridMultilevel"/>
    <w:tmpl w:val="CE02C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9CB3563"/>
    <w:multiLevelType w:val="hybridMultilevel"/>
    <w:tmpl w:val="AAE218B4"/>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6">
    <w:nsid w:val="4A3223C2"/>
    <w:multiLevelType w:val="hybridMultilevel"/>
    <w:tmpl w:val="D4AEC570"/>
    <w:lvl w:ilvl="0" w:tplc="6C28CF3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4A462E18"/>
    <w:multiLevelType w:val="hybridMultilevel"/>
    <w:tmpl w:val="05C8022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4B4259BD"/>
    <w:multiLevelType w:val="hybridMultilevel"/>
    <w:tmpl w:val="EAB6DDF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9">
    <w:nsid w:val="4C7A2CB5"/>
    <w:multiLevelType w:val="hybridMultilevel"/>
    <w:tmpl w:val="92E83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C853D56"/>
    <w:multiLevelType w:val="multilevel"/>
    <w:tmpl w:val="93F21DAE"/>
    <w:lvl w:ilvl="0">
      <w:start w:val="1"/>
      <w:numFmt w:val="decimal"/>
      <w:lvlText w:val="%1."/>
      <w:lvlJc w:val="left"/>
      <w:pPr>
        <w:ind w:left="720" w:hanging="360"/>
      </w:pPr>
      <w:rPr>
        <w:rFonts w:hint="default"/>
      </w:rPr>
    </w:lvl>
    <w:lvl w:ilvl="1">
      <w:start w:val="5"/>
      <w:numFmt w:val="bullet"/>
      <w:lvlText w:val=""/>
      <w:lvlJc w:val="left"/>
      <w:pPr>
        <w:ind w:left="1440" w:hanging="360"/>
      </w:pPr>
      <w:rPr>
        <w:rFonts w:ascii="Calibri" w:eastAsia="Times New Roman" w:hAnsi="Calibr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4D6D072F"/>
    <w:multiLevelType w:val="hybridMultilevel"/>
    <w:tmpl w:val="3618A1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DA32BCD"/>
    <w:multiLevelType w:val="hybridMultilevel"/>
    <w:tmpl w:val="11BE0B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3">
    <w:nsid w:val="4DC01370"/>
    <w:multiLevelType w:val="hybridMultilevel"/>
    <w:tmpl w:val="BCD84A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4">
    <w:nsid w:val="4E3170E9"/>
    <w:multiLevelType w:val="hybridMultilevel"/>
    <w:tmpl w:val="9154B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4EAC746C"/>
    <w:multiLevelType w:val="hybridMultilevel"/>
    <w:tmpl w:val="22C42E30"/>
    <w:lvl w:ilvl="0" w:tplc="AC76C8B4">
      <w:numFmt w:val="bullet"/>
      <w:lvlText w:val="-"/>
      <w:lvlJc w:val="left"/>
      <w:pPr>
        <w:ind w:left="1428" w:hanging="360"/>
      </w:pPr>
      <w:rPr>
        <w:rFonts w:ascii="Calibri" w:eastAsia="Times New Roman"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6">
    <w:nsid w:val="4EAD081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0980C44"/>
    <w:multiLevelType w:val="hybridMultilevel"/>
    <w:tmpl w:val="E13C58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181117E"/>
    <w:multiLevelType w:val="multilevel"/>
    <w:tmpl w:val="93F21DAE"/>
    <w:lvl w:ilvl="0">
      <w:start w:val="1"/>
      <w:numFmt w:val="decimal"/>
      <w:lvlText w:val="%1."/>
      <w:lvlJc w:val="left"/>
      <w:pPr>
        <w:ind w:left="720" w:hanging="360"/>
      </w:pPr>
      <w:rPr>
        <w:rFonts w:hint="default"/>
      </w:rPr>
    </w:lvl>
    <w:lvl w:ilvl="1">
      <w:start w:val="5"/>
      <w:numFmt w:val="bullet"/>
      <w:lvlText w:val=""/>
      <w:lvlJc w:val="left"/>
      <w:pPr>
        <w:ind w:left="1440" w:hanging="360"/>
      </w:pPr>
      <w:rPr>
        <w:rFonts w:ascii="Calibri" w:eastAsia="Times New Roman" w:hAnsi="Calibri"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54F570F0"/>
    <w:multiLevelType w:val="hybridMultilevel"/>
    <w:tmpl w:val="68200F3A"/>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564015A3"/>
    <w:multiLevelType w:val="hybridMultilevel"/>
    <w:tmpl w:val="9FA274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8795287"/>
    <w:multiLevelType w:val="hybridMultilevel"/>
    <w:tmpl w:val="F0189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8852044"/>
    <w:multiLevelType w:val="hybridMultilevel"/>
    <w:tmpl w:val="F906F9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3">
    <w:nsid w:val="58A0493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AAE1FC7"/>
    <w:multiLevelType w:val="multilevel"/>
    <w:tmpl w:val="772E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F550EEE"/>
    <w:multiLevelType w:val="hybridMultilevel"/>
    <w:tmpl w:val="F45646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60DB0BC2"/>
    <w:multiLevelType w:val="hybridMultilevel"/>
    <w:tmpl w:val="99105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63A91ADC"/>
    <w:multiLevelType w:val="hybridMultilevel"/>
    <w:tmpl w:val="5C80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67DD4997"/>
    <w:multiLevelType w:val="hybridMultilevel"/>
    <w:tmpl w:val="48126A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6957021A"/>
    <w:multiLevelType w:val="hybridMultilevel"/>
    <w:tmpl w:val="917485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6C386604"/>
    <w:multiLevelType w:val="hybridMultilevel"/>
    <w:tmpl w:val="05EA3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6C391535"/>
    <w:multiLevelType w:val="hybridMultilevel"/>
    <w:tmpl w:val="7562A4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2">
    <w:nsid w:val="6C484D72"/>
    <w:multiLevelType w:val="hybridMultilevel"/>
    <w:tmpl w:val="8612F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6DE11266"/>
    <w:multiLevelType w:val="hybridMultilevel"/>
    <w:tmpl w:val="361EA0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6E2B2DED"/>
    <w:multiLevelType w:val="hybridMultilevel"/>
    <w:tmpl w:val="C48CA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6F027523"/>
    <w:multiLevelType w:val="hybridMultilevel"/>
    <w:tmpl w:val="20C0ABA4"/>
    <w:lvl w:ilvl="0" w:tplc="AC76C8B4">
      <w:numFmt w:val="bullet"/>
      <w:lvlText w:val="-"/>
      <w:lvlJc w:val="left"/>
      <w:pPr>
        <w:ind w:left="1428" w:hanging="360"/>
      </w:pPr>
      <w:rPr>
        <w:rFonts w:ascii="Calibri" w:eastAsia="Times New Roman"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6">
    <w:nsid w:val="704A1AF2"/>
    <w:multiLevelType w:val="hybridMultilevel"/>
    <w:tmpl w:val="F0A48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70D579E4"/>
    <w:multiLevelType w:val="hybridMultilevel"/>
    <w:tmpl w:val="C2E8B2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7521528D"/>
    <w:multiLevelType w:val="hybridMultilevel"/>
    <w:tmpl w:val="F09AF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75E762A0"/>
    <w:multiLevelType w:val="hybridMultilevel"/>
    <w:tmpl w:val="DFA2D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772C31E4"/>
    <w:multiLevelType w:val="hybridMultilevel"/>
    <w:tmpl w:val="65AAA6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77B76DC6"/>
    <w:multiLevelType w:val="hybridMultilevel"/>
    <w:tmpl w:val="274C09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78495D69"/>
    <w:multiLevelType w:val="hybridMultilevel"/>
    <w:tmpl w:val="BCD84A1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13">
    <w:nsid w:val="78691DD3"/>
    <w:multiLevelType w:val="multilevel"/>
    <w:tmpl w:val="7D7C5E8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4">
    <w:nsid w:val="7A8806AA"/>
    <w:multiLevelType w:val="hybridMultilevel"/>
    <w:tmpl w:val="A98026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nsid w:val="7E1125B8"/>
    <w:multiLevelType w:val="hybridMultilevel"/>
    <w:tmpl w:val="80687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7ECA7072"/>
    <w:multiLevelType w:val="hybridMultilevel"/>
    <w:tmpl w:val="30A69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3"/>
  </w:num>
  <w:num w:numId="2">
    <w:abstractNumId w:val="97"/>
  </w:num>
  <w:num w:numId="3">
    <w:abstractNumId w:val="62"/>
  </w:num>
  <w:num w:numId="4">
    <w:abstractNumId w:val="69"/>
  </w:num>
  <w:num w:numId="5">
    <w:abstractNumId w:val="84"/>
  </w:num>
  <w:num w:numId="6">
    <w:abstractNumId w:val="91"/>
  </w:num>
  <w:num w:numId="7">
    <w:abstractNumId w:val="41"/>
  </w:num>
  <w:num w:numId="8">
    <w:abstractNumId w:val="90"/>
  </w:num>
  <w:num w:numId="9">
    <w:abstractNumId w:val="108"/>
  </w:num>
  <w:num w:numId="10">
    <w:abstractNumId w:val="57"/>
  </w:num>
  <w:num w:numId="11">
    <w:abstractNumId w:val="115"/>
  </w:num>
  <w:num w:numId="12">
    <w:abstractNumId w:val="43"/>
  </w:num>
  <w:num w:numId="13">
    <w:abstractNumId w:val="82"/>
  </w:num>
  <w:num w:numId="14">
    <w:abstractNumId w:val="92"/>
  </w:num>
  <w:num w:numId="15">
    <w:abstractNumId w:val="78"/>
  </w:num>
  <w:num w:numId="16">
    <w:abstractNumId w:val="44"/>
  </w:num>
  <w:num w:numId="17">
    <w:abstractNumId w:val="81"/>
  </w:num>
  <w:num w:numId="18">
    <w:abstractNumId w:val="67"/>
  </w:num>
  <w:num w:numId="19">
    <w:abstractNumId w:val="104"/>
  </w:num>
  <w:num w:numId="20">
    <w:abstractNumId w:val="96"/>
  </w:num>
  <w:num w:numId="21">
    <w:abstractNumId w:val="89"/>
  </w:num>
  <w:num w:numId="22">
    <w:abstractNumId w:val="71"/>
  </w:num>
  <w:num w:numId="23">
    <w:abstractNumId w:val="102"/>
  </w:num>
  <w:num w:numId="24">
    <w:abstractNumId w:val="64"/>
  </w:num>
  <w:num w:numId="25">
    <w:abstractNumId w:val="42"/>
  </w:num>
  <w:num w:numId="26">
    <w:abstractNumId w:val="61"/>
  </w:num>
  <w:num w:numId="27">
    <w:abstractNumId w:val="47"/>
  </w:num>
  <w:num w:numId="28">
    <w:abstractNumId w:val="99"/>
  </w:num>
  <w:num w:numId="29">
    <w:abstractNumId w:val="116"/>
  </w:num>
  <w:num w:numId="30">
    <w:abstractNumId w:val="51"/>
  </w:num>
  <w:num w:numId="31">
    <w:abstractNumId w:val="107"/>
  </w:num>
  <w:num w:numId="32">
    <w:abstractNumId w:val="87"/>
  </w:num>
  <w:num w:numId="33">
    <w:abstractNumId w:val="79"/>
  </w:num>
  <w:num w:numId="34">
    <w:abstractNumId w:val="98"/>
  </w:num>
  <w:num w:numId="35">
    <w:abstractNumId w:val="59"/>
  </w:num>
  <w:num w:numId="36">
    <w:abstractNumId w:val="95"/>
  </w:num>
  <w:num w:numId="37">
    <w:abstractNumId w:val="114"/>
  </w:num>
  <w:num w:numId="38">
    <w:abstractNumId w:val="53"/>
  </w:num>
  <w:num w:numId="39">
    <w:abstractNumId w:val="63"/>
  </w:num>
  <w:num w:numId="40">
    <w:abstractNumId w:val="73"/>
  </w:num>
  <w:num w:numId="41">
    <w:abstractNumId w:val="93"/>
  </w:num>
  <w:num w:numId="42">
    <w:abstractNumId w:val="109"/>
  </w:num>
  <w:num w:numId="43">
    <w:abstractNumId w:val="40"/>
  </w:num>
  <w:num w:numId="44">
    <w:abstractNumId w:val="37"/>
  </w:num>
  <w:num w:numId="45">
    <w:abstractNumId w:val="48"/>
  </w:num>
  <w:num w:numId="46">
    <w:abstractNumId w:val="103"/>
  </w:num>
  <w:num w:numId="47">
    <w:abstractNumId w:val="39"/>
  </w:num>
  <w:num w:numId="48">
    <w:abstractNumId w:val="77"/>
  </w:num>
  <w:num w:numId="49">
    <w:abstractNumId w:val="38"/>
  </w:num>
  <w:num w:numId="50">
    <w:abstractNumId w:val="56"/>
  </w:num>
  <w:num w:numId="51">
    <w:abstractNumId w:val="94"/>
  </w:num>
  <w:num w:numId="52">
    <w:abstractNumId w:val="111"/>
  </w:num>
  <w:num w:numId="53">
    <w:abstractNumId w:val="101"/>
  </w:num>
  <w:num w:numId="54">
    <w:abstractNumId w:val="45"/>
  </w:num>
  <w:num w:numId="55">
    <w:abstractNumId w:val="33"/>
  </w:num>
  <w:num w:numId="56">
    <w:abstractNumId w:val="110"/>
  </w:num>
  <w:num w:numId="57">
    <w:abstractNumId w:val="54"/>
  </w:num>
  <w:num w:numId="58">
    <w:abstractNumId w:val="100"/>
  </w:num>
  <w:num w:numId="59">
    <w:abstractNumId w:val="106"/>
  </w:num>
  <w:num w:numId="60">
    <w:abstractNumId w:val="31"/>
  </w:num>
  <w:num w:numId="61">
    <w:abstractNumId w:val="60"/>
  </w:num>
  <w:num w:numId="62">
    <w:abstractNumId w:val="50"/>
  </w:num>
  <w:num w:numId="63">
    <w:abstractNumId w:val="112"/>
  </w:num>
  <w:num w:numId="64">
    <w:abstractNumId w:val="86"/>
  </w:num>
  <w:num w:numId="65">
    <w:abstractNumId w:val="46"/>
  </w:num>
  <w:num w:numId="66">
    <w:abstractNumId w:val="72"/>
  </w:num>
  <w:num w:numId="67">
    <w:abstractNumId w:val="83"/>
  </w:num>
  <w:num w:numId="68">
    <w:abstractNumId w:val="105"/>
  </w:num>
  <w:num w:numId="69">
    <w:abstractNumId w:val="85"/>
  </w:num>
  <w:num w:numId="70">
    <w:abstractNumId w:val="76"/>
  </w:num>
  <w:num w:numId="71">
    <w:abstractNumId w:val="68"/>
  </w:num>
  <w:num w:numId="72">
    <w:abstractNumId w:val="34"/>
  </w:num>
  <w:num w:numId="73">
    <w:abstractNumId w:val="65"/>
  </w:num>
  <w:num w:numId="74">
    <w:abstractNumId w:val="35"/>
  </w:num>
  <w:num w:numId="75">
    <w:abstractNumId w:val="66"/>
  </w:num>
  <w:num w:numId="76">
    <w:abstractNumId w:val="58"/>
  </w:num>
  <w:num w:numId="77">
    <w:abstractNumId w:val="30"/>
  </w:num>
  <w:num w:numId="78">
    <w:abstractNumId w:val="88"/>
  </w:num>
  <w:num w:numId="79">
    <w:abstractNumId w:val="70"/>
  </w:num>
  <w:num w:numId="80">
    <w:abstractNumId w:val="55"/>
  </w:num>
  <w:num w:numId="81">
    <w:abstractNumId w:val="49"/>
  </w:num>
  <w:num w:numId="82">
    <w:abstractNumId w:val="80"/>
  </w:num>
  <w:num w:numId="83">
    <w:abstractNumId w:val="75"/>
  </w:num>
  <w:num w:numId="84">
    <w:abstractNumId w:val="32"/>
  </w:num>
  <w:num w:numId="85">
    <w:abstractNumId w:val="52"/>
  </w:num>
  <w:num w:numId="86">
    <w:abstractNumId w:val="36"/>
  </w:num>
  <w:num w:numId="87">
    <w:abstractNumId w:val="7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8914"/>
  </w:hdrShapeDefaults>
  <w:footnotePr>
    <w:footnote w:id="-1"/>
    <w:footnote w:id="0"/>
  </w:footnotePr>
  <w:endnotePr>
    <w:endnote w:id="-1"/>
    <w:endnote w:id="0"/>
  </w:endnotePr>
  <w:compat/>
  <w:rsids>
    <w:rsidRoot w:val="00B50E8D"/>
    <w:rsid w:val="00001D51"/>
    <w:rsid w:val="0000401E"/>
    <w:rsid w:val="0000410C"/>
    <w:rsid w:val="000047FB"/>
    <w:rsid w:val="0000538C"/>
    <w:rsid w:val="000066EE"/>
    <w:rsid w:val="00006EBF"/>
    <w:rsid w:val="000071D2"/>
    <w:rsid w:val="000136B8"/>
    <w:rsid w:val="00013B51"/>
    <w:rsid w:val="000140CB"/>
    <w:rsid w:val="0001415C"/>
    <w:rsid w:val="00014173"/>
    <w:rsid w:val="0001417B"/>
    <w:rsid w:val="00016257"/>
    <w:rsid w:val="000206A1"/>
    <w:rsid w:val="0002165E"/>
    <w:rsid w:val="00022D24"/>
    <w:rsid w:val="000235CF"/>
    <w:rsid w:val="00040F41"/>
    <w:rsid w:val="0004216A"/>
    <w:rsid w:val="000457FA"/>
    <w:rsid w:val="00045E9D"/>
    <w:rsid w:val="00051837"/>
    <w:rsid w:val="00052F4C"/>
    <w:rsid w:val="00053B64"/>
    <w:rsid w:val="0005666D"/>
    <w:rsid w:val="00056CA5"/>
    <w:rsid w:val="0006064E"/>
    <w:rsid w:val="00065B6A"/>
    <w:rsid w:val="000669A3"/>
    <w:rsid w:val="00072A68"/>
    <w:rsid w:val="000731DC"/>
    <w:rsid w:val="00073509"/>
    <w:rsid w:val="00073FB0"/>
    <w:rsid w:val="0007591B"/>
    <w:rsid w:val="00080F61"/>
    <w:rsid w:val="00081AFD"/>
    <w:rsid w:val="00083F00"/>
    <w:rsid w:val="00084DEF"/>
    <w:rsid w:val="000916AF"/>
    <w:rsid w:val="000922FE"/>
    <w:rsid w:val="000A0D63"/>
    <w:rsid w:val="000A1497"/>
    <w:rsid w:val="000A4F29"/>
    <w:rsid w:val="000A500A"/>
    <w:rsid w:val="000A5F4F"/>
    <w:rsid w:val="000A74F1"/>
    <w:rsid w:val="000A7539"/>
    <w:rsid w:val="000B1074"/>
    <w:rsid w:val="000B1C97"/>
    <w:rsid w:val="000C15D5"/>
    <w:rsid w:val="000D2084"/>
    <w:rsid w:val="000D343B"/>
    <w:rsid w:val="000D75AD"/>
    <w:rsid w:val="000E02FA"/>
    <w:rsid w:val="000E449E"/>
    <w:rsid w:val="000F3656"/>
    <w:rsid w:val="000F3C2A"/>
    <w:rsid w:val="000F40D1"/>
    <w:rsid w:val="000F6F3D"/>
    <w:rsid w:val="000F7E1C"/>
    <w:rsid w:val="00104B0F"/>
    <w:rsid w:val="0010751A"/>
    <w:rsid w:val="001105A4"/>
    <w:rsid w:val="001115DD"/>
    <w:rsid w:val="00112489"/>
    <w:rsid w:val="00115593"/>
    <w:rsid w:val="00116F6F"/>
    <w:rsid w:val="001179F9"/>
    <w:rsid w:val="0012051C"/>
    <w:rsid w:val="00120802"/>
    <w:rsid w:val="00122427"/>
    <w:rsid w:val="00123775"/>
    <w:rsid w:val="00125EEC"/>
    <w:rsid w:val="00130625"/>
    <w:rsid w:val="00131008"/>
    <w:rsid w:val="00132255"/>
    <w:rsid w:val="00132364"/>
    <w:rsid w:val="00132702"/>
    <w:rsid w:val="00132E90"/>
    <w:rsid w:val="00132EED"/>
    <w:rsid w:val="00134CF1"/>
    <w:rsid w:val="001350FF"/>
    <w:rsid w:val="0014292F"/>
    <w:rsid w:val="00142C2A"/>
    <w:rsid w:val="00144787"/>
    <w:rsid w:val="00144841"/>
    <w:rsid w:val="0015146D"/>
    <w:rsid w:val="00152A7D"/>
    <w:rsid w:val="00152C01"/>
    <w:rsid w:val="001539B6"/>
    <w:rsid w:val="00155A8A"/>
    <w:rsid w:val="00156734"/>
    <w:rsid w:val="00156A3F"/>
    <w:rsid w:val="001574DD"/>
    <w:rsid w:val="0016025B"/>
    <w:rsid w:val="0016054F"/>
    <w:rsid w:val="00160D36"/>
    <w:rsid w:val="00160EA9"/>
    <w:rsid w:val="00161340"/>
    <w:rsid w:val="00166480"/>
    <w:rsid w:val="0017144F"/>
    <w:rsid w:val="001742AF"/>
    <w:rsid w:val="0017451E"/>
    <w:rsid w:val="00177364"/>
    <w:rsid w:val="001819D8"/>
    <w:rsid w:val="00182D8B"/>
    <w:rsid w:val="00187BDB"/>
    <w:rsid w:val="00187CA4"/>
    <w:rsid w:val="00190BDA"/>
    <w:rsid w:val="00193FBC"/>
    <w:rsid w:val="00194FDC"/>
    <w:rsid w:val="00195518"/>
    <w:rsid w:val="00196D63"/>
    <w:rsid w:val="00197661"/>
    <w:rsid w:val="00197D6D"/>
    <w:rsid w:val="001A0924"/>
    <w:rsid w:val="001A3201"/>
    <w:rsid w:val="001A4563"/>
    <w:rsid w:val="001A54C9"/>
    <w:rsid w:val="001A6634"/>
    <w:rsid w:val="001B0FC8"/>
    <w:rsid w:val="001B2E3B"/>
    <w:rsid w:val="001C0710"/>
    <w:rsid w:val="001C1B7F"/>
    <w:rsid w:val="001C29BE"/>
    <w:rsid w:val="001C32DB"/>
    <w:rsid w:val="001C4D58"/>
    <w:rsid w:val="001C53F5"/>
    <w:rsid w:val="001C5907"/>
    <w:rsid w:val="001C6374"/>
    <w:rsid w:val="001C7DEE"/>
    <w:rsid w:val="001D0FC3"/>
    <w:rsid w:val="001D3744"/>
    <w:rsid w:val="001D3B8A"/>
    <w:rsid w:val="001D5CDF"/>
    <w:rsid w:val="001D6490"/>
    <w:rsid w:val="001D6E4E"/>
    <w:rsid w:val="001D75C0"/>
    <w:rsid w:val="001E0270"/>
    <w:rsid w:val="001E03AA"/>
    <w:rsid w:val="001E305B"/>
    <w:rsid w:val="001E3AD9"/>
    <w:rsid w:val="001E3BFD"/>
    <w:rsid w:val="001E525D"/>
    <w:rsid w:val="001E5BD2"/>
    <w:rsid w:val="001E5DA6"/>
    <w:rsid w:val="001E6A31"/>
    <w:rsid w:val="001F0CC0"/>
    <w:rsid w:val="001F0DA4"/>
    <w:rsid w:val="001F2864"/>
    <w:rsid w:val="001F6EC1"/>
    <w:rsid w:val="00200622"/>
    <w:rsid w:val="002026B7"/>
    <w:rsid w:val="00202F58"/>
    <w:rsid w:val="00206C18"/>
    <w:rsid w:val="0021387C"/>
    <w:rsid w:val="002146EE"/>
    <w:rsid w:val="0021573E"/>
    <w:rsid w:val="002232DC"/>
    <w:rsid w:val="002258B4"/>
    <w:rsid w:val="002261EA"/>
    <w:rsid w:val="00227690"/>
    <w:rsid w:val="0023078B"/>
    <w:rsid w:val="00232E32"/>
    <w:rsid w:val="002346A6"/>
    <w:rsid w:val="00240F90"/>
    <w:rsid w:val="0024476B"/>
    <w:rsid w:val="00254346"/>
    <w:rsid w:val="002565D6"/>
    <w:rsid w:val="00256BB3"/>
    <w:rsid w:val="00257306"/>
    <w:rsid w:val="002608A3"/>
    <w:rsid w:val="00264508"/>
    <w:rsid w:val="0026647A"/>
    <w:rsid w:val="002713FF"/>
    <w:rsid w:val="002836ED"/>
    <w:rsid w:val="0028397B"/>
    <w:rsid w:val="0028618D"/>
    <w:rsid w:val="002862DA"/>
    <w:rsid w:val="00291A89"/>
    <w:rsid w:val="00292B9A"/>
    <w:rsid w:val="00292FAC"/>
    <w:rsid w:val="002932A8"/>
    <w:rsid w:val="00294023"/>
    <w:rsid w:val="00294673"/>
    <w:rsid w:val="00296374"/>
    <w:rsid w:val="00296D55"/>
    <w:rsid w:val="00297C5C"/>
    <w:rsid w:val="002A096A"/>
    <w:rsid w:val="002A1C6E"/>
    <w:rsid w:val="002A2115"/>
    <w:rsid w:val="002A29B1"/>
    <w:rsid w:val="002A3384"/>
    <w:rsid w:val="002A5565"/>
    <w:rsid w:val="002A6C67"/>
    <w:rsid w:val="002A77C9"/>
    <w:rsid w:val="002B04BB"/>
    <w:rsid w:val="002B09F9"/>
    <w:rsid w:val="002B1AC5"/>
    <w:rsid w:val="002B2903"/>
    <w:rsid w:val="002B49D7"/>
    <w:rsid w:val="002B4C94"/>
    <w:rsid w:val="002B5C0D"/>
    <w:rsid w:val="002B6AB1"/>
    <w:rsid w:val="002C0245"/>
    <w:rsid w:val="002C288E"/>
    <w:rsid w:val="002C315E"/>
    <w:rsid w:val="002D185E"/>
    <w:rsid w:val="002D3866"/>
    <w:rsid w:val="002D589F"/>
    <w:rsid w:val="002D6A98"/>
    <w:rsid w:val="002D6B2C"/>
    <w:rsid w:val="002D7186"/>
    <w:rsid w:val="002E2DD7"/>
    <w:rsid w:val="002E33C1"/>
    <w:rsid w:val="002F0D71"/>
    <w:rsid w:val="002F19B0"/>
    <w:rsid w:val="002F2A95"/>
    <w:rsid w:val="002F2D4D"/>
    <w:rsid w:val="002F699B"/>
    <w:rsid w:val="002F6BF1"/>
    <w:rsid w:val="00301D1C"/>
    <w:rsid w:val="00302273"/>
    <w:rsid w:val="00304A8F"/>
    <w:rsid w:val="003057EB"/>
    <w:rsid w:val="00312E6D"/>
    <w:rsid w:val="00313685"/>
    <w:rsid w:val="003145CB"/>
    <w:rsid w:val="00314F99"/>
    <w:rsid w:val="00325141"/>
    <w:rsid w:val="0032654D"/>
    <w:rsid w:val="00331DBD"/>
    <w:rsid w:val="00332EBE"/>
    <w:rsid w:val="00333E02"/>
    <w:rsid w:val="0033506E"/>
    <w:rsid w:val="00337227"/>
    <w:rsid w:val="003437C2"/>
    <w:rsid w:val="00344359"/>
    <w:rsid w:val="00350687"/>
    <w:rsid w:val="0035075B"/>
    <w:rsid w:val="00352980"/>
    <w:rsid w:val="0035304A"/>
    <w:rsid w:val="00354FD0"/>
    <w:rsid w:val="003578EA"/>
    <w:rsid w:val="003606B6"/>
    <w:rsid w:val="00361059"/>
    <w:rsid w:val="00363A22"/>
    <w:rsid w:val="00366A45"/>
    <w:rsid w:val="003674F7"/>
    <w:rsid w:val="00367E47"/>
    <w:rsid w:val="00370AF8"/>
    <w:rsid w:val="00371EC0"/>
    <w:rsid w:val="00376040"/>
    <w:rsid w:val="00380645"/>
    <w:rsid w:val="00380B97"/>
    <w:rsid w:val="003810EF"/>
    <w:rsid w:val="00381F80"/>
    <w:rsid w:val="00382363"/>
    <w:rsid w:val="00382E7B"/>
    <w:rsid w:val="003855F3"/>
    <w:rsid w:val="00386297"/>
    <w:rsid w:val="003932DF"/>
    <w:rsid w:val="0039679C"/>
    <w:rsid w:val="00396E8C"/>
    <w:rsid w:val="003A31AA"/>
    <w:rsid w:val="003A6610"/>
    <w:rsid w:val="003A67FC"/>
    <w:rsid w:val="003A7887"/>
    <w:rsid w:val="003A7E42"/>
    <w:rsid w:val="003B2C98"/>
    <w:rsid w:val="003B2D80"/>
    <w:rsid w:val="003B46E3"/>
    <w:rsid w:val="003B6AE0"/>
    <w:rsid w:val="003B71B7"/>
    <w:rsid w:val="003C1BF0"/>
    <w:rsid w:val="003C6296"/>
    <w:rsid w:val="003D0168"/>
    <w:rsid w:val="003D1ED0"/>
    <w:rsid w:val="003D583D"/>
    <w:rsid w:val="003D685C"/>
    <w:rsid w:val="003E0DFB"/>
    <w:rsid w:val="003E143D"/>
    <w:rsid w:val="003E6740"/>
    <w:rsid w:val="003F2824"/>
    <w:rsid w:val="003F57DF"/>
    <w:rsid w:val="003F7A57"/>
    <w:rsid w:val="00400CD5"/>
    <w:rsid w:val="00402A5C"/>
    <w:rsid w:val="004034E5"/>
    <w:rsid w:val="00404A6F"/>
    <w:rsid w:val="00406258"/>
    <w:rsid w:val="00407ADC"/>
    <w:rsid w:val="0041166C"/>
    <w:rsid w:val="00413578"/>
    <w:rsid w:val="00414738"/>
    <w:rsid w:val="004158EC"/>
    <w:rsid w:val="004165B3"/>
    <w:rsid w:val="0041666A"/>
    <w:rsid w:val="00416B29"/>
    <w:rsid w:val="00421083"/>
    <w:rsid w:val="004248C7"/>
    <w:rsid w:val="00424F66"/>
    <w:rsid w:val="0042781B"/>
    <w:rsid w:val="004303DE"/>
    <w:rsid w:val="00431620"/>
    <w:rsid w:val="00431F2E"/>
    <w:rsid w:val="004336AE"/>
    <w:rsid w:val="004405AF"/>
    <w:rsid w:val="0044105C"/>
    <w:rsid w:val="00443F92"/>
    <w:rsid w:val="00445245"/>
    <w:rsid w:val="004472A3"/>
    <w:rsid w:val="0045071F"/>
    <w:rsid w:val="00451C01"/>
    <w:rsid w:val="004551E2"/>
    <w:rsid w:val="00455F6C"/>
    <w:rsid w:val="00457E54"/>
    <w:rsid w:val="00461651"/>
    <w:rsid w:val="00464F1D"/>
    <w:rsid w:val="00464FCF"/>
    <w:rsid w:val="00476DF1"/>
    <w:rsid w:val="00476FDC"/>
    <w:rsid w:val="0047702E"/>
    <w:rsid w:val="00480A8B"/>
    <w:rsid w:val="004852F9"/>
    <w:rsid w:val="0048677A"/>
    <w:rsid w:val="00494E37"/>
    <w:rsid w:val="0049573A"/>
    <w:rsid w:val="00496B61"/>
    <w:rsid w:val="00496E83"/>
    <w:rsid w:val="00496F72"/>
    <w:rsid w:val="00497920"/>
    <w:rsid w:val="004A1983"/>
    <w:rsid w:val="004A6BC2"/>
    <w:rsid w:val="004B0669"/>
    <w:rsid w:val="004B2260"/>
    <w:rsid w:val="004B3D84"/>
    <w:rsid w:val="004B5F87"/>
    <w:rsid w:val="004C0D74"/>
    <w:rsid w:val="004C403E"/>
    <w:rsid w:val="004C51E5"/>
    <w:rsid w:val="004C5681"/>
    <w:rsid w:val="004C5FB0"/>
    <w:rsid w:val="004D0BC8"/>
    <w:rsid w:val="004D0DB4"/>
    <w:rsid w:val="004D32BD"/>
    <w:rsid w:val="004E17DD"/>
    <w:rsid w:val="004E18E6"/>
    <w:rsid w:val="004E461D"/>
    <w:rsid w:val="004E4FDC"/>
    <w:rsid w:val="004E5166"/>
    <w:rsid w:val="004E5862"/>
    <w:rsid w:val="004F00B3"/>
    <w:rsid w:val="004F03BF"/>
    <w:rsid w:val="004F1A6E"/>
    <w:rsid w:val="004F29E0"/>
    <w:rsid w:val="004F4C64"/>
    <w:rsid w:val="004F5EA0"/>
    <w:rsid w:val="004F61B5"/>
    <w:rsid w:val="0050130D"/>
    <w:rsid w:val="00504039"/>
    <w:rsid w:val="00504E63"/>
    <w:rsid w:val="00504F43"/>
    <w:rsid w:val="0050625E"/>
    <w:rsid w:val="00506986"/>
    <w:rsid w:val="00510795"/>
    <w:rsid w:val="005117B5"/>
    <w:rsid w:val="005138D5"/>
    <w:rsid w:val="00514355"/>
    <w:rsid w:val="00515542"/>
    <w:rsid w:val="005156C1"/>
    <w:rsid w:val="00520C66"/>
    <w:rsid w:val="005216C7"/>
    <w:rsid w:val="0052172D"/>
    <w:rsid w:val="00522019"/>
    <w:rsid w:val="00522602"/>
    <w:rsid w:val="0053042C"/>
    <w:rsid w:val="005308AD"/>
    <w:rsid w:val="0053411C"/>
    <w:rsid w:val="005366DA"/>
    <w:rsid w:val="00542CD6"/>
    <w:rsid w:val="00544207"/>
    <w:rsid w:val="00546849"/>
    <w:rsid w:val="00550771"/>
    <w:rsid w:val="00551628"/>
    <w:rsid w:val="00551D1F"/>
    <w:rsid w:val="00551F33"/>
    <w:rsid w:val="0055368C"/>
    <w:rsid w:val="00554875"/>
    <w:rsid w:val="00555192"/>
    <w:rsid w:val="00555AE6"/>
    <w:rsid w:val="0056218B"/>
    <w:rsid w:val="005624D5"/>
    <w:rsid w:val="00562B1C"/>
    <w:rsid w:val="005637EB"/>
    <w:rsid w:val="00567403"/>
    <w:rsid w:val="00570B9C"/>
    <w:rsid w:val="0057106C"/>
    <w:rsid w:val="005721AF"/>
    <w:rsid w:val="005769CC"/>
    <w:rsid w:val="00576A72"/>
    <w:rsid w:val="00580DAC"/>
    <w:rsid w:val="005814EE"/>
    <w:rsid w:val="00582A0F"/>
    <w:rsid w:val="005841C5"/>
    <w:rsid w:val="0058514C"/>
    <w:rsid w:val="005924CF"/>
    <w:rsid w:val="00592D42"/>
    <w:rsid w:val="00592D77"/>
    <w:rsid w:val="00593189"/>
    <w:rsid w:val="00593653"/>
    <w:rsid w:val="0059456D"/>
    <w:rsid w:val="005A6D1A"/>
    <w:rsid w:val="005A7EB8"/>
    <w:rsid w:val="005B078E"/>
    <w:rsid w:val="005B46F5"/>
    <w:rsid w:val="005B65BD"/>
    <w:rsid w:val="005B6D8F"/>
    <w:rsid w:val="005B7AAE"/>
    <w:rsid w:val="005D0CC8"/>
    <w:rsid w:val="005D4800"/>
    <w:rsid w:val="005D5A6A"/>
    <w:rsid w:val="005E518E"/>
    <w:rsid w:val="005E605E"/>
    <w:rsid w:val="005F06EB"/>
    <w:rsid w:val="005F0C5B"/>
    <w:rsid w:val="005F10BB"/>
    <w:rsid w:val="005F4B1F"/>
    <w:rsid w:val="005F4E12"/>
    <w:rsid w:val="006006E8"/>
    <w:rsid w:val="006024EA"/>
    <w:rsid w:val="00603653"/>
    <w:rsid w:val="00606E14"/>
    <w:rsid w:val="00611AE7"/>
    <w:rsid w:val="0061369F"/>
    <w:rsid w:val="006145DE"/>
    <w:rsid w:val="00615029"/>
    <w:rsid w:val="00616F5D"/>
    <w:rsid w:val="006170C3"/>
    <w:rsid w:val="00623D5C"/>
    <w:rsid w:val="00624CCF"/>
    <w:rsid w:val="00625B09"/>
    <w:rsid w:val="00625E32"/>
    <w:rsid w:val="006279B4"/>
    <w:rsid w:val="006305B3"/>
    <w:rsid w:val="0063129A"/>
    <w:rsid w:val="00633097"/>
    <w:rsid w:val="006335A9"/>
    <w:rsid w:val="00634319"/>
    <w:rsid w:val="00634342"/>
    <w:rsid w:val="00637226"/>
    <w:rsid w:val="006374E0"/>
    <w:rsid w:val="00637BE1"/>
    <w:rsid w:val="00643042"/>
    <w:rsid w:val="00646734"/>
    <w:rsid w:val="00646B48"/>
    <w:rsid w:val="00651436"/>
    <w:rsid w:val="006515E3"/>
    <w:rsid w:val="006517CA"/>
    <w:rsid w:val="006518B1"/>
    <w:rsid w:val="00660100"/>
    <w:rsid w:val="00662CE2"/>
    <w:rsid w:val="006647BC"/>
    <w:rsid w:val="006649F6"/>
    <w:rsid w:val="00665D58"/>
    <w:rsid w:val="00666D1B"/>
    <w:rsid w:val="006671ED"/>
    <w:rsid w:val="00667ED6"/>
    <w:rsid w:val="00671945"/>
    <w:rsid w:val="00671E0F"/>
    <w:rsid w:val="006732F5"/>
    <w:rsid w:val="00675042"/>
    <w:rsid w:val="0067726A"/>
    <w:rsid w:val="006852B0"/>
    <w:rsid w:val="0068572C"/>
    <w:rsid w:val="00691979"/>
    <w:rsid w:val="00692C0F"/>
    <w:rsid w:val="00696ECA"/>
    <w:rsid w:val="00696F2C"/>
    <w:rsid w:val="006971DE"/>
    <w:rsid w:val="00697CAD"/>
    <w:rsid w:val="006A0978"/>
    <w:rsid w:val="006A13E0"/>
    <w:rsid w:val="006A219A"/>
    <w:rsid w:val="006A66DC"/>
    <w:rsid w:val="006A6DE8"/>
    <w:rsid w:val="006A7B89"/>
    <w:rsid w:val="006B0E8E"/>
    <w:rsid w:val="006B3631"/>
    <w:rsid w:val="006B3FF8"/>
    <w:rsid w:val="006B6BC1"/>
    <w:rsid w:val="006B7245"/>
    <w:rsid w:val="006C0F5B"/>
    <w:rsid w:val="006C3CD3"/>
    <w:rsid w:val="006C5470"/>
    <w:rsid w:val="006D2ED8"/>
    <w:rsid w:val="006E2A02"/>
    <w:rsid w:val="006E3D73"/>
    <w:rsid w:val="006E5B12"/>
    <w:rsid w:val="006E6927"/>
    <w:rsid w:val="006E6E9A"/>
    <w:rsid w:val="006F1EBC"/>
    <w:rsid w:val="006F2EE1"/>
    <w:rsid w:val="006F32ED"/>
    <w:rsid w:val="006F35E0"/>
    <w:rsid w:val="006F67CE"/>
    <w:rsid w:val="006F6ABC"/>
    <w:rsid w:val="00700405"/>
    <w:rsid w:val="007030EB"/>
    <w:rsid w:val="007047AE"/>
    <w:rsid w:val="00704B4F"/>
    <w:rsid w:val="00704FCE"/>
    <w:rsid w:val="00705498"/>
    <w:rsid w:val="0071095B"/>
    <w:rsid w:val="00714450"/>
    <w:rsid w:val="00715204"/>
    <w:rsid w:val="007174DF"/>
    <w:rsid w:val="007200FB"/>
    <w:rsid w:val="0072191E"/>
    <w:rsid w:val="0072393D"/>
    <w:rsid w:val="00726FC9"/>
    <w:rsid w:val="0073252B"/>
    <w:rsid w:val="00733ACC"/>
    <w:rsid w:val="007353D4"/>
    <w:rsid w:val="0073704F"/>
    <w:rsid w:val="00745220"/>
    <w:rsid w:val="00747328"/>
    <w:rsid w:val="00750A29"/>
    <w:rsid w:val="00751E25"/>
    <w:rsid w:val="00751EF7"/>
    <w:rsid w:val="0075424F"/>
    <w:rsid w:val="00754845"/>
    <w:rsid w:val="007566A0"/>
    <w:rsid w:val="00757C40"/>
    <w:rsid w:val="00762525"/>
    <w:rsid w:val="007627A2"/>
    <w:rsid w:val="0076458E"/>
    <w:rsid w:val="00765991"/>
    <w:rsid w:val="00765DF6"/>
    <w:rsid w:val="00766F41"/>
    <w:rsid w:val="0077349E"/>
    <w:rsid w:val="00774024"/>
    <w:rsid w:val="007763B7"/>
    <w:rsid w:val="00777FA5"/>
    <w:rsid w:val="00782B24"/>
    <w:rsid w:val="0078349B"/>
    <w:rsid w:val="00783652"/>
    <w:rsid w:val="007845D4"/>
    <w:rsid w:val="00785569"/>
    <w:rsid w:val="00785711"/>
    <w:rsid w:val="00787771"/>
    <w:rsid w:val="00790851"/>
    <w:rsid w:val="007920F8"/>
    <w:rsid w:val="0079335C"/>
    <w:rsid w:val="007A0CDF"/>
    <w:rsid w:val="007A2972"/>
    <w:rsid w:val="007A388D"/>
    <w:rsid w:val="007A4E5D"/>
    <w:rsid w:val="007A4FC1"/>
    <w:rsid w:val="007A5BEB"/>
    <w:rsid w:val="007A6869"/>
    <w:rsid w:val="007B126F"/>
    <w:rsid w:val="007B1765"/>
    <w:rsid w:val="007B3AE9"/>
    <w:rsid w:val="007B3E4F"/>
    <w:rsid w:val="007B4F88"/>
    <w:rsid w:val="007C16BD"/>
    <w:rsid w:val="007C35B1"/>
    <w:rsid w:val="007C7069"/>
    <w:rsid w:val="007D0E49"/>
    <w:rsid w:val="007D37FA"/>
    <w:rsid w:val="007D3E54"/>
    <w:rsid w:val="007D3FD6"/>
    <w:rsid w:val="007D48CF"/>
    <w:rsid w:val="007D4FF7"/>
    <w:rsid w:val="007D6B90"/>
    <w:rsid w:val="007D7ABE"/>
    <w:rsid w:val="007E038B"/>
    <w:rsid w:val="007E0668"/>
    <w:rsid w:val="007E0986"/>
    <w:rsid w:val="007E221B"/>
    <w:rsid w:val="007E342E"/>
    <w:rsid w:val="007E4A87"/>
    <w:rsid w:val="007E7CEE"/>
    <w:rsid w:val="007F0048"/>
    <w:rsid w:val="007F09E9"/>
    <w:rsid w:val="007F0E15"/>
    <w:rsid w:val="007F1BFF"/>
    <w:rsid w:val="007F211D"/>
    <w:rsid w:val="007F2B6D"/>
    <w:rsid w:val="007F2EB0"/>
    <w:rsid w:val="007F6B0D"/>
    <w:rsid w:val="008000A8"/>
    <w:rsid w:val="00801FBF"/>
    <w:rsid w:val="008031C8"/>
    <w:rsid w:val="00805D1C"/>
    <w:rsid w:val="00807024"/>
    <w:rsid w:val="008071F5"/>
    <w:rsid w:val="00810520"/>
    <w:rsid w:val="00814B73"/>
    <w:rsid w:val="00821B80"/>
    <w:rsid w:val="0082265B"/>
    <w:rsid w:val="008236C6"/>
    <w:rsid w:val="00824B21"/>
    <w:rsid w:val="00824D0A"/>
    <w:rsid w:val="00830595"/>
    <w:rsid w:val="00831096"/>
    <w:rsid w:val="00831556"/>
    <w:rsid w:val="00841BFC"/>
    <w:rsid w:val="008431B5"/>
    <w:rsid w:val="00846AEE"/>
    <w:rsid w:val="008474F3"/>
    <w:rsid w:val="008544C5"/>
    <w:rsid w:val="0085523F"/>
    <w:rsid w:val="00856400"/>
    <w:rsid w:val="00856F88"/>
    <w:rsid w:val="0086095A"/>
    <w:rsid w:val="00860B4D"/>
    <w:rsid w:val="008617FF"/>
    <w:rsid w:val="008623FB"/>
    <w:rsid w:val="008641FB"/>
    <w:rsid w:val="00864BAF"/>
    <w:rsid w:val="00864C0C"/>
    <w:rsid w:val="00864E07"/>
    <w:rsid w:val="00865197"/>
    <w:rsid w:val="0086725D"/>
    <w:rsid w:val="008673C6"/>
    <w:rsid w:val="0087001F"/>
    <w:rsid w:val="0087010F"/>
    <w:rsid w:val="008715B1"/>
    <w:rsid w:val="00871F93"/>
    <w:rsid w:val="00872574"/>
    <w:rsid w:val="00875618"/>
    <w:rsid w:val="0087764E"/>
    <w:rsid w:val="008776D4"/>
    <w:rsid w:val="00880D65"/>
    <w:rsid w:val="0088171F"/>
    <w:rsid w:val="008856E9"/>
    <w:rsid w:val="00894B52"/>
    <w:rsid w:val="00896A46"/>
    <w:rsid w:val="00896DFB"/>
    <w:rsid w:val="008A3816"/>
    <w:rsid w:val="008A3C83"/>
    <w:rsid w:val="008A5FAB"/>
    <w:rsid w:val="008B193F"/>
    <w:rsid w:val="008B203D"/>
    <w:rsid w:val="008B20E6"/>
    <w:rsid w:val="008B56E5"/>
    <w:rsid w:val="008B5FB2"/>
    <w:rsid w:val="008C050F"/>
    <w:rsid w:val="008C4AC7"/>
    <w:rsid w:val="008C5B19"/>
    <w:rsid w:val="008D12D6"/>
    <w:rsid w:val="008D135B"/>
    <w:rsid w:val="008D5383"/>
    <w:rsid w:val="008D5B30"/>
    <w:rsid w:val="008D6ADA"/>
    <w:rsid w:val="008D76EC"/>
    <w:rsid w:val="008E221F"/>
    <w:rsid w:val="008E3058"/>
    <w:rsid w:val="008E5BF3"/>
    <w:rsid w:val="008E7993"/>
    <w:rsid w:val="008E7B54"/>
    <w:rsid w:val="008F1211"/>
    <w:rsid w:val="008F1DF1"/>
    <w:rsid w:val="008F2EF5"/>
    <w:rsid w:val="008F4433"/>
    <w:rsid w:val="008F452E"/>
    <w:rsid w:val="008F5FDD"/>
    <w:rsid w:val="008F77B2"/>
    <w:rsid w:val="008F797D"/>
    <w:rsid w:val="009003A4"/>
    <w:rsid w:val="00903213"/>
    <w:rsid w:val="00903DC0"/>
    <w:rsid w:val="00910172"/>
    <w:rsid w:val="00910570"/>
    <w:rsid w:val="00911683"/>
    <w:rsid w:val="00912D0B"/>
    <w:rsid w:val="009133A4"/>
    <w:rsid w:val="009136B4"/>
    <w:rsid w:val="00923C3D"/>
    <w:rsid w:val="00926936"/>
    <w:rsid w:val="00931EFA"/>
    <w:rsid w:val="00932231"/>
    <w:rsid w:val="009322B4"/>
    <w:rsid w:val="00932934"/>
    <w:rsid w:val="00932B4A"/>
    <w:rsid w:val="009333FD"/>
    <w:rsid w:val="00933ED2"/>
    <w:rsid w:val="00934223"/>
    <w:rsid w:val="009419C9"/>
    <w:rsid w:val="00942427"/>
    <w:rsid w:val="0094466E"/>
    <w:rsid w:val="00951885"/>
    <w:rsid w:val="0095211B"/>
    <w:rsid w:val="00954750"/>
    <w:rsid w:val="00957CDF"/>
    <w:rsid w:val="00963652"/>
    <w:rsid w:val="00963A2A"/>
    <w:rsid w:val="0096624D"/>
    <w:rsid w:val="00966BE6"/>
    <w:rsid w:val="00970A9A"/>
    <w:rsid w:val="00970B32"/>
    <w:rsid w:val="00973C33"/>
    <w:rsid w:val="009752C8"/>
    <w:rsid w:val="0097741D"/>
    <w:rsid w:val="00985A02"/>
    <w:rsid w:val="00990500"/>
    <w:rsid w:val="009958E9"/>
    <w:rsid w:val="009A1184"/>
    <w:rsid w:val="009A1209"/>
    <w:rsid w:val="009A40E4"/>
    <w:rsid w:val="009A64A0"/>
    <w:rsid w:val="009A6A41"/>
    <w:rsid w:val="009A71C2"/>
    <w:rsid w:val="009A76B3"/>
    <w:rsid w:val="009B1571"/>
    <w:rsid w:val="009C2716"/>
    <w:rsid w:val="009C33E8"/>
    <w:rsid w:val="009C3BB7"/>
    <w:rsid w:val="009C65A5"/>
    <w:rsid w:val="009C68C5"/>
    <w:rsid w:val="009D104C"/>
    <w:rsid w:val="009D3B3F"/>
    <w:rsid w:val="009D415C"/>
    <w:rsid w:val="009E0367"/>
    <w:rsid w:val="009E1742"/>
    <w:rsid w:val="009E2AAB"/>
    <w:rsid w:val="009E2DCE"/>
    <w:rsid w:val="009E37C0"/>
    <w:rsid w:val="009E3B49"/>
    <w:rsid w:val="009E410A"/>
    <w:rsid w:val="009E5400"/>
    <w:rsid w:val="009F09EB"/>
    <w:rsid w:val="009F1A88"/>
    <w:rsid w:val="009F3E66"/>
    <w:rsid w:val="009F4372"/>
    <w:rsid w:val="009F4D7F"/>
    <w:rsid w:val="009F5234"/>
    <w:rsid w:val="009F5BCE"/>
    <w:rsid w:val="009F7DAB"/>
    <w:rsid w:val="00A13045"/>
    <w:rsid w:val="00A1545A"/>
    <w:rsid w:val="00A16870"/>
    <w:rsid w:val="00A17B10"/>
    <w:rsid w:val="00A2013E"/>
    <w:rsid w:val="00A2314B"/>
    <w:rsid w:val="00A2607C"/>
    <w:rsid w:val="00A30520"/>
    <w:rsid w:val="00A33198"/>
    <w:rsid w:val="00A33A83"/>
    <w:rsid w:val="00A35FBB"/>
    <w:rsid w:val="00A3656C"/>
    <w:rsid w:val="00A36CC1"/>
    <w:rsid w:val="00A37722"/>
    <w:rsid w:val="00A427D4"/>
    <w:rsid w:val="00A43313"/>
    <w:rsid w:val="00A60AC9"/>
    <w:rsid w:val="00A62D55"/>
    <w:rsid w:val="00A65510"/>
    <w:rsid w:val="00A661A6"/>
    <w:rsid w:val="00A67208"/>
    <w:rsid w:val="00A7118B"/>
    <w:rsid w:val="00A726D1"/>
    <w:rsid w:val="00A72C60"/>
    <w:rsid w:val="00A72E62"/>
    <w:rsid w:val="00A73680"/>
    <w:rsid w:val="00A751C7"/>
    <w:rsid w:val="00A80F14"/>
    <w:rsid w:val="00A836EE"/>
    <w:rsid w:val="00A86C42"/>
    <w:rsid w:val="00A87C89"/>
    <w:rsid w:val="00A90B14"/>
    <w:rsid w:val="00A9131C"/>
    <w:rsid w:val="00A92273"/>
    <w:rsid w:val="00A93D18"/>
    <w:rsid w:val="00A9517B"/>
    <w:rsid w:val="00A97472"/>
    <w:rsid w:val="00A97555"/>
    <w:rsid w:val="00AA00CA"/>
    <w:rsid w:val="00AA4658"/>
    <w:rsid w:val="00AA5F26"/>
    <w:rsid w:val="00AB0D76"/>
    <w:rsid w:val="00AB2C93"/>
    <w:rsid w:val="00AB3D57"/>
    <w:rsid w:val="00AB43D1"/>
    <w:rsid w:val="00AC0536"/>
    <w:rsid w:val="00AC0A02"/>
    <w:rsid w:val="00AC3476"/>
    <w:rsid w:val="00AC3787"/>
    <w:rsid w:val="00AC5751"/>
    <w:rsid w:val="00AC5E41"/>
    <w:rsid w:val="00AC5FA3"/>
    <w:rsid w:val="00AD01CC"/>
    <w:rsid w:val="00AD0914"/>
    <w:rsid w:val="00AD271D"/>
    <w:rsid w:val="00AD29DB"/>
    <w:rsid w:val="00AD5BFA"/>
    <w:rsid w:val="00AD7454"/>
    <w:rsid w:val="00AE1D18"/>
    <w:rsid w:val="00AE2607"/>
    <w:rsid w:val="00AE358D"/>
    <w:rsid w:val="00AE41FD"/>
    <w:rsid w:val="00AE60D3"/>
    <w:rsid w:val="00AF04E8"/>
    <w:rsid w:val="00AF3286"/>
    <w:rsid w:val="00AF5458"/>
    <w:rsid w:val="00AF67DA"/>
    <w:rsid w:val="00AF76E4"/>
    <w:rsid w:val="00B01AF2"/>
    <w:rsid w:val="00B01B25"/>
    <w:rsid w:val="00B035F5"/>
    <w:rsid w:val="00B05856"/>
    <w:rsid w:val="00B067C7"/>
    <w:rsid w:val="00B06A14"/>
    <w:rsid w:val="00B07D95"/>
    <w:rsid w:val="00B07F8B"/>
    <w:rsid w:val="00B111E0"/>
    <w:rsid w:val="00B14384"/>
    <w:rsid w:val="00B17AE0"/>
    <w:rsid w:val="00B202A2"/>
    <w:rsid w:val="00B277EF"/>
    <w:rsid w:val="00B307B1"/>
    <w:rsid w:val="00B33CB6"/>
    <w:rsid w:val="00B33FCC"/>
    <w:rsid w:val="00B36950"/>
    <w:rsid w:val="00B40620"/>
    <w:rsid w:val="00B41E82"/>
    <w:rsid w:val="00B4431E"/>
    <w:rsid w:val="00B44F5A"/>
    <w:rsid w:val="00B45991"/>
    <w:rsid w:val="00B46430"/>
    <w:rsid w:val="00B50CB6"/>
    <w:rsid w:val="00B50E8D"/>
    <w:rsid w:val="00B50F68"/>
    <w:rsid w:val="00B510CB"/>
    <w:rsid w:val="00B530A6"/>
    <w:rsid w:val="00B53EF4"/>
    <w:rsid w:val="00B55622"/>
    <w:rsid w:val="00B55EFD"/>
    <w:rsid w:val="00B56873"/>
    <w:rsid w:val="00B65565"/>
    <w:rsid w:val="00B7331C"/>
    <w:rsid w:val="00B77AF9"/>
    <w:rsid w:val="00B8037D"/>
    <w:rsid w:val="00B834B2"/>
    <w:rsid w:val="00B845C3"/>
    <w:rsid w:val="00B857F2"/>
    <w:rsid w:val="00B90C51"/>
    <w:rsid w:val="00B941F5"/>
    <w:rsid w:val="00B949AF"/>
    <w:rsid w:val="00B96F0E"/>
    <w:rsid w:val="00B97EA9"/>
    <w:rsid w:val="00BA22F7"/>
    <w:rsid w:val="00BA2546"/>
    <w:rsid w:val="00BA5FE0"/>
    <w:rsid w:val="00BA6E18"/>
    <w:rsid w:val="00BA7A2C"/>
    <w:rsid w:val="00BB1CE8"/>
    <w:rsid w:val="00BB21EA"/>
    <w:rsid w:val="00BB4DC1"/>
    <w:rsid w:val="00BB62E1"/>
    <w:rsid w:val="00BB73FA"/>
    <w:rsid w:val="00BC61AB"/>
    <w:rsid w:val="00BD1AB0"/>
    <w:rsid w:val="00BD2DFF"/>
    <w:rsid w:val="00BD722F"/>
    <w:rsid w:val="00BE0544"/>
    <w:rsid w:val="00BE6697"/>
    <w:rsid w:val="00BF2870"/>
    <w:rsid w:val="00BF387C"/>
    <w:rsid w:val="00BF5FEC"/>
    <w:rsid w:val="00BF7695"/>
    <w:rsid w:val="00BF7D70"/>
    <w:rsid w:val="00C01C0D"/>
    <w:rsid w:val="00C03817"/>
    <w:rsid w:val="00C058B1"/>
    <w:rsid w:val="00C07D53"/>
    <w:rsid w:val="00C1000B"/>
    <w:rsid w:val="00C1242D"/>
    <w:rsid w:val="00C13509"/>
    <w:rsid w:val="00C140B2"/>
    <w:rsid w:val="00C167AA"/>
    <w:rsid w:val="00C16DED"/>
    <w:rsid w:val="00C1703D"/>
    <w:rsid w:val="00C17405"/>
    <w:rsid w:val="00C20628"/>
    <w:rsid w:val="00C20714"/>
    <w:rsid w:val="00C225C1"/>
    <w:rsid w:val="00C2539E"/>
    <w:rsid w:val="00C26FA8"/>
    <w:rsid w:val="00C27817"/>
    <w:rsid w:val="00C30FE1"/>
    <w:rsid w:val="00C32715"/>
    <w:rsid w:val="00C35763"/>
    <w:rsid w:val="00C36E13"/>
    <w:rsid w:val="00C412A1"/>
    <w:rsid w:val="00C41755"/>
    <w:rsid w:val="00C429F1"/>
    <w:rsid w:val="00C458AB"/>
    <w:rsid w:val="00C51239"/>
    <w:rsid w:val="00C51620"/>
    <w:rsid w:val="00C51693"/>
    <w:rsid w:val="00C51C8A"/>
    <w:rsid w:val="00C52379"/>
    <w:rsid w:val="00C54C5D"/>
    <w:rsid w:val="00C577B3"/>
    <w:rsid w:val="00C60035"/>
    <w:rsid w:val="00C63F75"/>
    <w:rsid w:val="00C648FF"/>
    <w:rsid w:val="00C668C1"/>
    <w:rsid w:val="00C7065E"/>
    <w:rsid w:val="00C70DE4"/>
    <w:rsid w:val="00C71376"/>
    <w:rsid w:val="00C717AD"/>
    <w:rsid w:val="00C73FCE"/>
    <w:rsid w:val="00C7466B"/>
    <w:rsid w:val="00C754B8"/>
    <w:rsid w:val="00C770D7"/>
    <w:rsid w:val="00C77B95"/>
    <w:rsid w:val="00C83B8B"/>
    <w:rsid w:val="00C85DB4"/>
    <w:rsid w:val="00C93858"/>
    <w:rsid w:val="00C945D1"/>
    <w:rsid w:val="00C9531F"/>
    <w:rsid w:val="00C95CAE"/>
    <w:rsid w:val="00C970C2"/>
    <w:rsid w:val="00C9716C"/>
    <w:rsid w:val="00C974FF"/>
    <w:rsid w:val="00CA1F6B"/>
    <w:rsid w:val="00CA63C7"/>
    <w:rsid w:val="00CB1323"/>
    <w:rsid w:val="00CB1E5F"/>
    <w:rsid w:val="00CC192B"/>
    <w:rsid w:val="00CC2225"/>
    <w:rsid w:val="00CC5944"/>
    <w:rsid w:val="00CC602A"/>
    <w:rsid w:val="00CD3F8A"/>
    <w:rsid w:val="00CD55B8"/>
    <w:rsid w:val="00CE01B2"/>
    <w:rsid w:val="00CE3436"/>
    <w:rsid w:val="00CE4119"/>
    <w:rsid w:val="00CE421F"/>
    <w:rsid w:val="00CE436C"/>
    <w:rsid w:val="00CE4D02"/>
    <w:rsid w:val="00CE5CB5"/>
    <w:rsid w:val="00CE73F2"/>
    <w:rsid w:val="00CF04EE"/>
    <w:rsid w:val="00CF0A3C"/>
    <w:rsid w:val="00CF2FBB"/>
    <w:rsid w:val="00CF5280"/>
    <w:rsid w:val="00CF572F"/>
    <w:rsid w:val="00CF6DBB"/>
    <w:rsid w:val="00CF7DAE"/>
    <w:rsid w:val="00D00B34"/>
    <w:rsid w:val="00D036AD"/>
    <w:rsid w:val="00D04CEC"/>
    <w:rsid w:val="00D07397"/>
    <w:rsid w:val="00D151F4"/>
    <w:rsid w:val="00D21EB3"/>
    <w:rsid w:val="00D238FB"/>
    <w:rsid w:val="00D25D0C"/>
    <w:rsid w:val="00D2731D"/>
    <w:rsid w:val="00D316B2"/>
    <w:rsid w:val="00D31A74"/>
    <w:rsid w:val="00D32136"/>
    <w:rsid w:val="00D33D0C"/>
    <w:rsid w:val="00D35905"/>
    <w:rsid w:val="00D364BA"/>
    <w:rsid w:val="00D36E2A"/>
    <w:rsid w:val="00D416CF"/>
    <w:rsid w:val="00D460DC"/>
    <w:rsid w:val="00D4716F"/>
    <w:rsid w:val="00D47246"/>
    <w:rsid w:val="00D50DF5"/>
    <w:rsid w:val="00D5133A"/>
    <w:rsid w:val="00D53CB0"/>
    <w:rsid w:val="00D5586B"/>
    <w:rsid w:val="00D60091"/>
    <w:rsid w:val="00D60384"/>
    <w:rsid w:val="00D64C2C"/>
    <w:rsid w:val="00D727E0"/>
    <w:rsid w:val="00D7422A"/>
    <w:rsid w:val="00D74784"/>
    <w:rsid w:val="00D74D3A"/>
    <w:rsid w:val="00D75B21"/>
    <w:rsid w:val="00D81025"/>
    <w:rsid w:val="00D8119A"/>
    <w:rsid w:val="00D813C0"/>
    <w:rsid w:val="00D8262A"/>
    <w:rsid w:val="00D83A63"/>
    <w:rsid w:val="00D84F4D"/>
    <w:rsid w:val="00D972B2"/>
    <w:rsid w:val="00DA060F"/>
    <w:rsid w:val="00DA386D"/>
    <w:rsid w:val="00DA39BB"/>
    <w:rsid w:val="00DA5457"/>
    <w:rsid w:val="00DA778B"/>
    <w:rsid w:val="00DB02A4"/>
    <w:rsid w:val="00DB12A9"/>
    <w:rsid w:val="00DB4571"/>
    <w:rsid w:val="00DC35E1"/>
    <w:rsid w:val="00DC5F13"/>
    <w:rsid w:val="00DC794B"/>
    <w:rsid w:val="00DD0355"/>
    <w:rsid w:val="00DD1FE0"/>
    <w:rsid w:val="00DD508C"/>
    <w:rsid w:val="00DD5670"/>
    <w:rsid w:val="00DD5B91"/>
    <w:rsid w:val="00DD7B81"/>
    <w:rsid w:val="00DE0600"/>
    <w:rsid w:val="00DE143A"/>
    <w:rsid w:val="00DE2E36"/>
    <w:rsid w:val="00DE7FE2"/>
    <w:rsid w:val="00DF0A29"/>
    <w:rsid w:val="00DF61A1"/>
    <w:rsid w:val="00DF7ABB"/>
    <w:rsid w:val="00E030A7"/>
    <w:rsid w:val="00E031B9"/>
    <w:rsid w:val="00E03EC2"/>
    <w:rsid w:val="00E132DE"/>
    <w:rsid w:val="00E15EEE"/>
    <w:rsid w:val="00E20B75"/>
    <w:rsid w:val="00E221E3"/>
    <w:rsid w:val="00E22D1A"/>
    <w:rsid w:val="00E24AFA"/>
    <w:rsid w:val="00E25990"/>
    <w:rsid w:val="00E31A77"/>
    <w:rsid w:val="00E31AC9"/>
    <w:rsid w:val="00E3201B"/>
    <w:rsid w:val="00E32E36"/>
    <w:rsid w:val="00E33CAA"/>
    <w:rsid w:val="00E40F57"/>
    <w:rsid w:val="00E417B6"/>
    <w:rsid w:val="00E4268A"/>
    <w:rsid w:val="00E44643"/>
    <w:rsid w:val="00E45963"/>
    <w:rsid w:val="00E5227E"/>
    <w:rsid w:val="00E53181"/>
    <w:rsid w:val="00E6003D"/>
    <w:rsid w:val="00E620AB"/>
    <w:rsid w:val="00E6257F"/>
    <w:rsid w:val="00E63966"/>
    <w:rsid w:val="00E642F2"/>
    <w:rsid w:val="00E67E4B"/>
    <w:rsid w:val="00E7093A"/>
    <w:rsid w:val="00E70E37"/>
    <w:rsid w:val="00E71CEA"/>
    <w:rsid w:val="00E720C4"/>
    <w:rsid w:val="00E72F7D"/>
    <w:rsid w:val="00E73915"/>
    <w:rsid w:val="00E820DD"/>
    <w:rsid w:val="00E96CFA"/>
    <w:rsid w:val="00EA0E27"/>
    <w:rsid w:val="00EA3918"/>
    <w:rsid w:val="00EA5C83"/>
    <w:rsid w:val="00EA5D8B"/>
    <w:rsid w:val="00EA5F74"/>
    <w:rsid w:val="00EA6D3D"/>
    <w:rsid w:val="00EB1A37"/>
    <w:rsid w:val="00EB3E78"/>
    <w:rsid w:val="00EB5BD0"/>
    <w:rsid w:val="00EB5D10"/>
    <w:rsid w:val="00EC2AD0"/>
    <w:rsid w:val="00ED24B0"/>
    <w:rsid w:val="00ED48A0"/>
    <w:rsid w:val="00ED5118"/>
    <w:rsid w:val="00ED6DFA"/>
    <w:rsid w:val="00EE0928"/>
    <w:rsid w:val="00EE0FA6"/>
    <w:rsid w:val="00EE1899"/>
    <w:rsid w:val="00EE19D2"/>
    <w:rsid w:val="00EE26A6"/>
    <w:rsid w:val="00EE2B1D"/>
    <w:rsid w:val="00EE4B82"/>
    <w:rsid w:val="00EF093B"/>
    <w:rsid w:val="00EF1901"/>
    <w:rsid w:val="00EF388D"/>
    <w:rsid w:val="00EF7C63"/>
    <w:rsid w:val="00F005EF"/>
    <w:rsid w:val="00F048B0"/>
    <w:rsid w:val="00F0552C"/>
    <w:rsid w:val="00F06D1A"/>
    <w:rsid w:val="00F10251"/>
    <w:rsid w:val="00F149E2"/>
    <w:rsid w:val="00F1648B"/>
    <w:rsid w:val="00F16836"/>
    <w:rsid w:val="00F23E6B"/>
    <w:rsid w:val="00F2437D"/>
    <w:rsid w:val="00F243B0"/>
    <w:rsid w:val="00F255F8"/>
    <w:rsid w:val="00F27604"/>
    <w:rsid w:val="00F324A0"/>
    <w:rsid w:val="00F34026"/>
    <w:rsid w:val="00F3564E"/>
    <w:rsid w:val="00F35BFA"/>
    <w:rsid w:val="00F365ED"/>
    <w:rsid w:val="00F37A52"/>
    <w:rsid w:val="00F42853"/>
    <w:rsid w:val="00F43017"/>
    <w:rsid w:val="00F54741"/>
    <w:rsid w:val="00F54AC0"/>
    <w:rsid w:val="00F56E68"/>
    <w:rsid w:val="00F57202"/>
    <w:rsid w:val="00F6005D"/>
    <w:rsid w:val="00F609EA"/>
    <w:rsid w:val="00F6540D"/>
    <w:rsid w:val="00F7014C"/>
    <w:rsid w:val="00F7146C"/>
    <w:rsid w:val="00F71D02"/>
    <w:rsid w:val="00F75936"/>
    <w:rsid w:val="00F83CD2"/>
    <w:rsid w:val="00F95FD3"/>
    <w:rsid w:val="00F9678E"/>
    <w:rsid w:val="00F9794C"/>
    <w:rsid w:val="00FA1159"/>
    <w:rsid w:val="00FA1E8B"/>
    <w:rsid w:val="00FA526A"/>
    <w:rsid w:val="00FA55E7"/>
    <w:rsid w:val="00FA6F66"/>
    <w:rsid w:val="00FB27E5"/>
    <w:rsid w:val="00FB3EBE"/>
    <w:rsid w:val="00FB558C"/>
    <w:rsid w:val="00FB6500"/>
    <w:rsid w:val="00FB73C7"/>
    <w:rsid w:val="00FC2306"/>
    <w:rsid w:val="00FC2416"/>
    <w:rsid w:val="00FC2503"/>
    <w:rsid w:val="00FC477C"/>
    <w:rsid w:val="00FC4789"/>
    <w:rsid w:val="00FC5BA0"/>
    <w:rsid w:val="00FC7402"/>
    <w:rsid w:val="00FD2E42"/>
    <w:rsid w:val="00FD3267"/>
    <w:rsid w:val="00FD5B86"/>
    <w:rsid w:val="00FD7711"/>
    <w:rsid w:val="00FD7DDD"/>
    <w:rsid w:val="00FE0A0D"/>
    <w:rsid w:val="00FE197A"/>
    <w:rsid w:val="00FE3CBF"/>
    <w:rsid w:val="00FF1016"/>
    <w:rsid w:val="00FF1D0A"/>
    <w:rsid w:val="00FF44A6"/>
    <w:rsid w:val="00FF7CE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8914"/>
    <o:shapelayout v:ext="edit">
      <o:idmap v:ext="edit" data="1"/>
      <o:rules v:ext="edit">
        <o:r id="V:Rule1" type="callout" idref="#_x0000_s1027"/>
        <o:r id="V:Rule2" type="callout" idref="#_x0000_s1028"/>
        <o:r id="V:Rule3" type="callout" idref="#_x0000_s1029"/>
        <o:r id="V:Rule4"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2934"/>
    <w:pPr>
      <w:suppressAutoHyphens/>
      <w:spacing w:after="240"/>
      <w:jc w:val="both"/>
    </w:pPr>
    <w:rPr>
      <w:rFonts w:ascii="Arial Unicode MS" w:hAnsi="Arial Unicode MS"/>
      <w:sz w:val="22"/>
      <w:szCs w:val="24"/>
      <w:lang w:eastAsia="en-US"/>
    </w:rPr>
  </w:style>
  <w:style w:type="paragraph" w:styleId="Nadpis1">
    <w:name w:val="heading 1"/>
    <w:basedOn w:val="Normln"/>
    <w:link w:val="Nadpis1Char"/>
    <w:qFormat/>
    <w:rsid w:val="001C4D58"/>
    <w:pPr>
      <w:keepNext/>
      <w:keepLines/>
      <w:pageBreakBefore/>
      <w:numPr>
        <w:numId w:val="1"/>
      </w:numPr>
      <w:suppressAutoHyphens w:val="0"/>
      <w:spacing w:before="480" w:line="276" w:lineRule="auto"/>
      <w:outlineLvl w:val="0"/>
    </w:pPr>
    <w:rPr>
      <w:rFonts w:ascii="Verdana" w:hAnsi="Verdana"/>
      <w:b/>
      <w:bCs/>
      <w:color w:val="0070C0"/>
      <w:sz w:val="28"/>
      <w:szCs w:val="28"/>
    </w:rPr>
  </w:style>
  <w:style w:type="paragraph" w:styleId="Nadpis2">
    <w:name w:val="heading 2"/>
    <w:basedOn w:val="Normln"/>
    <w:next w:val="Normln"/>
    <w:link w:val="Nadpis2Char"/>
    <w:qFormat/>
    <w:rsid w:val="002A3384"/>
    <w:pPr>
      <w:keepNext/>
      <w:keepLines/>
      <w:numPr>
        <w:ilvl w:val="1"/>
        <w:numId w:val="1"/>
      </w:numPr>
      <w:suppressAutoHyphens w:val="0"/>
      <w:spacing w:before="200" w:line="276" w:lineRule="auto"/>
      <w:outlineLvl w:val="1"/>
    </w:pPr>
    <w:rPr>
      <w:rFonts w:ascii="Verdana" w:hAnsi="Verdana"/>
      <w:b/>
      <w:bCs/>
      <w:color w:val="0070C0"/>
      <w:sz w:val="26"/>
      <w:szCs w:val="26"/>
    </w:rPr>
  </w:style>
  <w:style w:type="paragraph" w:styleId="Nadpis3">
    <w:name w:val="heading 3"/>
    <w:basedOn w:val="Normln"/>
    <w:next w:val="Normln"/>
    <w:link w:val="Nadpis3Char"/>
    <w:qFormat/>
    <w:rsid w:val="002A3384"/>
    <w:pPr>
      <w:keepNext/>
      <w:keepLines/>
      <w:numPr>
        <w:ilvl w:val="2"/>
        <w:numId w:val="1"/>
      </w:numPr>
      <w:suppressAutoHyphens w:val="0"/>
      <w:spacing w:before="200" w:line="276" w:lineRule="auto"/>
      <w:outlineLvl w:val="2"/>
    </w:pPr>
    <w:rPr>
      <w:rFonts w:ascii="Verdana" w:hAnsi="Verdana"/>
      <w:b/>
      <w:bCs/>
      <w:color w:val="0070C0"/>
      <w:sz w:val="20"/>
      <w:szCs w:val="22"/>
    </w:rPr>
  </w:style>
  <w:style w:type="paragraph" w:styleId="Nadpis4">
    <w:name w:val="heading 4"/>
    <w:basedOn w:val="Normln"/>
    <w:next w:val="Normln"/>
    <w:link w:val="Nadpis4Char"/>
    <w:qFormat/>
    <w:rsid w:val="000F7E1C"/>
    <w:pPr>
      <w:keepNext/>
      <w:keepLines/>
      <w:numPr>
        <w:ilvl w:val="3"/>
        <w:numId w:val="1"/>
      </w:numPr>
      <w:suppressAutoHyphens w:val="0"/>
      <w:spacing w:before="200" w:line="276" w:lineRule="auto"/>
      <w:outlineLvl w:val="3"/>
    </w:pPr>
    <w:rPr>
      <w:rFonts w:ascii="Verdana" w:hAnsi="Verdana"/>
      <w:b/>
      <w:bCs/>
      <w:i/>
      <w:iCs/>
      <w:color w:val="7F7F7F" w:themeColor="text1" w:themeTint="80"/>
      <w:sz w:val="20"/>
      <w:szCs w:val="22"/>
    </w:rPr>
  </w:style>
  <w:style w:type="paragraph" w:styleId="Nadpis5">
    <w:name w:val="heading 5"/>
    <w:basedOn w:val="Normln"/>
    <w:next w:val="Normln"/>
    <w:link w:val="Nadpis5Char"/>
    <w:qFormat/>
    <w:rsid w:val="002A3384"/>
    <w:pPr>
      <w:keepNext/>
      <w:keepLines/>
      <w:numPr>
        <w:ilvl w:val="4"/>
        <w:numId w:val="1"/>
      </w:numPr>
      <w:suppressAutoHyphens w:val="0"/>
      <w:spacing w:before="200" w:line="276" w:lineRule="auto"/>
      <w:outlineLvl w:val="4"/>
    </w:pPr>
    <w:rPr>
      <w:rFonts w:ascii="Verdana" w:hAnsi="Verdana"/>
      <w:color w:val="6E6E6E"/>
      <w:sz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2A3384"/>
    <w:rPr>
      <w:rFonts w:ascii="Verdana" w:hAnsi="Verdana"/>
      <w:b/>
      <w:bCs/>
      <w:color w:val="0070C0"/>
      <w:sz w:val="26"/>
      <w:szCs w:val="26"/>
      <w:lang w:eastAsia="en-US"/>
    </w:rPr>
  </w:style>
  <w:style w:type="character" w:customStyle="1" w:styleId="Nadpis1Char">
    <w:name w:val="Nadpis 1 Char"/>
    <w:link w:val="Nadpis1"/>
    <w:rsid w:val="001C4D58"/>
    <w:rPr>
      <w:rFonts w:ascii="Verdana" w:hAnsi="Verdana"/>
      <w:b/>
      <w:bCs/>
      <w:color w:val="0070C0"/>
      <w:sz w:val="28"/>
      <w:szCs w:val="28"/>
      <w:lang w:eastAsia="en-US"/>
    </w:rPr>
  </w:style>
  <w:style w:type="character" w:customStyle="1" w:styleId="Nadpis3Char">
    <w:name w:val="Nadpis 3 Char"/>
    <w:link w:val="Nadpis3"/>
    <w:rsid w:val="002A3384"/>
    <w:rPr>
      <w:rFonts w:ascii="Verdana" w:hAnsi="Verdana"/>
      <w:b/>
      <w:bCs/>
      <w:color w:val="0070C0"/>
      <w:szCs w:val="22"/>
      <w:lang w:eastAsia="en-US"/>
    </w:rPr>
  </w:style>
  <w:style w:type="character" w:customStyle="1" w:styleId="Nadpis4Char">
    <w:name w:val="Nadpis 4 Char"/>
    <w:link w:val="Nadpis4"/>
    <w:rsid w:val="000F7E1C"/>
    <w:rPr>
      <w:rFonts w:ascii="Verdana" w:hAnsi="Verdana"/>
      <w:b/>
      <w:bCs/>
      <w:i/>
      <w:iCs/>
      <w:color w:val="7F7F7F" w:themeColor="text1" w:themeTint="80"/>
      <w:szCs w:val="22"/>
      <w:lang w:eastAsia="en-US"/>
    </w:rPr>
  </w:style>
  <w:style w:type="character" w:styleId="Siln">
    <w:name w:val="Strong"/>
    <w:qFormat/>
    <w:rsid w:val="00BB62E1"/>
    <w:rPr>
      <w:b/>
      <w:bCs/>
    </w:rPr>
  </w:style>
  <w:style w:type="paragraph" w:styleId="Odstavecseseznamem">
    <w:name w:val="List Paragraph"/>
    <w:aliases w:val="Nad"/>
    <w:basedOn w:val="Normln"/>
    <w:uiPriority w:val="34"/>
    <w:qFormat/>
    <w:rsid w:val="00BB62E1"/>
    <w:pPr>
      <w:ind w:left="708"/>
    </w:pPr>
  </w:style>
  <w:style w:type="character" w:customStyle="1" w:styleId="Nadpis5Char">
    <w:name w:val="Nadpis 5 Char"/>
    <w:link w:val="Nadpis5"/>
    <w:rsid w:val="002A3384"/>
    <w:rPr>
      <w:rFonts w:ascii="Verdana" w:hAnsi="Verdana"/>
      <w:color w:val="6E6E6E"/>
      <w:szCs w:val="22"/>
      <w:lang w:eastAsia="en-US"/>
    </w:rPr>
  </w:style>
  <w:style w:type="paragraph" w:styleId="Textbubliny">
    <w:name w:val="Balloon Text"/>
    <w:basedOn w:val="Normln"/>
    <w:link w:val="TextbublinyChar"/>
    <w:uiPriority w:val="99"/>
    <w:semiHidden/>
    <w:unhideWhenUsed/>
    <w:rsid w:val="000A7539"/>
    <w:rPr>
      <w:rFonts w:ascii="Tahoma" w:hAnsi="Tahoma" w:cs="Tahoma"/>
      <w:sz w:val="16"/>
      <w:szCs w:val="16"/>
    </w:rPr>
  </w:style>
  <w:style w:type="character" w:customStyle="1" w:styleId="TextbublinyChar">
    <w:name w:val="Text bubliny Char"/>
    <w:basedOn w:val="Standardnpsmoodstavce"/>
    <w:link w:val="Textbubliny"/>
    <w:uiPriority w:val="99"/>
    <w:semiHidden/>
    <w:rsid w:val="000A7539"/>
    <w:rPr>
      <w:rFonts w:ascii="Tahoma" w:hAnsi="Tahoma" w:cs="Tahoma"/>
      <w:sz w:val="16"/>
      <w:szCs w:val="16"/>
      <w:lang w:eastAsia="ar-SA"/>
    </w:rPr>
  </w:style>
  <w:style w:type="character" w:styleId="Hypertextovodkaz">
    <w:name w:val="Hyperlink"/>
    <w:uiPriority w:val="99"/>
    <w:rsid w:val="00A43313"/>
    <w:rPr>
      <w:color w:val="000080"/>
      <w:u w:val="single"/>
    </w:rPr>
  </w:style>
  <w:style w:type="character" w:customStyle="1" w:styleId="tsubjname">
    <w:name w:val="tsubjname"/>
    <w:basedOn w:val="Standardnpsmoodstavce"/>
    <w:rsid w:val="00D33D0C"/>
  </w:style>
  <w:style w:type="paragraph" w:styleId="Nadpisobsahu">
    <w:name w:val="TOC Heading"/>
    <w:basedOn w:val="Nadpis1"/>
    <w:next w:val="Normln"/>
    <w:uiPriority w:val="39"/>
    <w:unhideWhenUsed/>
    <w:qFormat/>
    <w:rsid w:val="00D74D3A"/>
    <w:pPr>
      <w:numPr>
        <w:numId w:val="0"/>
      </w:numPr>
      <w:jc w:val="left"/>
      <w:outlineLvl w:val="9"/>
    </w:pPr>
    <w:rPr>
      <w:rFonts w:asciiTheme="majorHAnsi" w:eastAsiaTheme="majorEastAsia" w:hAnsiTheme="majorHAnsi" w:cstheme="majorBidi"/>
      <w:color w:val="365F91" w:themeColor="accent1" w:themeShade="BF"/>
    </w:rPr>
  </w:style>
  <w:style w:type="paragraph" w:styleId="Obsah1">
    <w:name w:val="toc 1"/>
    <w:basedOn w:val="Normln"/>
    <w:next w:val="Normln"/>
    <w:autoRedefine/>
    <w:uiPriority w:val="39"/>
    <w:unhideWhenUsed/>
    <w:rsid w:val="00D74D3A"/>
    <w:pPr>
      <w:spacing w:after="100"/>
    </w:pPr>
  </w:style>
  <w:style w:type="paragraph" w:styleId="Obsah2">
    <w:name w:val="toc 2"/>
    <w:basedOn w:val="Normln"/>
    <w:next w:val="Normln"/>
    <w:autoRedefine/>
    <w:uiPriority w:val="39"/>
    <w:unhideWhenUsed/>
    <w:rsid w:val="00D74D3A"/>
    <w:pPr>
      <w:spacing w:after="100"/>
      <w:ind w:left="240"/>
    </w:pPr>
  </w:style>
  <w:style w:type="paragraph" w:styleId="Obsah3">
    <w:name w:val="toc 3"/>
    <w:basedOn w:val="Normln"/>
    <w:next w:val="Normln"/>
    <w:autoRedefine/>
    <w:uiPriority w:val="39"/>
    <w:unhideWhenUsed/>
    <w:rsid w:val="00D74D3A"/>
    <w:pPr>
      <w:spacing w:after="100"/>
      <w:ind w:left="480"/>
    </w:pPr>
  </w:style>
  <w:style w:type="paragraph" w:styleId="Zhlav">
    <w:name w:val="header"/>
    <w:basedOn w:val="Normln"/>
    <w:link w:val="ZhlavChar"/>
    <w:uiPriority w:val="99"/>
    <w:unhideWhenUsed/>
    <w:rsid w:val="00D74D3A"/>
    <w:pPr>
      <w:tabs>
        <w:tab w:val="center" w:pos="4536"/>
        <w:tab w:val="right" w:pos="9072"/>
      </w:tabs>
    </w:pPr>
  </w:style>
  <w:style w:type="character" w:customStyle="1" w:styleId="ZhlavChar">
    <w:name w:val="Záhlaví Char"/>
    <w:basedOn w:val="Standardnpsmoodstavce"/>
    <w:link w:val="Zhlav"/>
    <w:uiPriority w:val="99"/>
    <w:rsid w:val="00D74D3A"/>
    <w:rPr>
      <w:rFonts w:ascii="Arial Unicode MS" w:hAnsi="Arial Unicode MS"/>
      <w:sz w:val="24"/>
      <w:szCs w:val="24"/>
      <w:lang w:eastAsia="en-US"/>
    </w:rPr>
  </w:style>
  <w:style w:type="paragraph" w:styleId="Zpat">
    <w:name w:val="footer"/>
    <w:basedOn w:val="Normln"/>
    <w:link w:val="ZpatChar"/>
    <w:uiPriority w:val="99"/>
    <w:unhideWhenUsed/>
    <w:rsid w:val="00D74D3A"/>
    <w:pPr>
      <w:tabs>
        <w:tab w:val="center" w:pos="4536"/>
        <w:tab w:val="right" w:pos="9072"/>
      </w:tabs>
    </w:pPr>
  </w:style>
  <w:style w:type="character" w:customStyle="1" w:styleId="ZpatChar">
    <w:name w:val="Zápatí Char"/>
    <w:basedOn w:val="Standardnpsmoodstavce"/>
    <w:link w:val="Zpat"/>
    <w:uiPriority w:val="99"/>
    <w:rsid w:val="00D74D3A"/>
    <w:rPr>
      <w:rFonts w:ascii="Arial Unicode MS" w:hAnsi="Arial Unicode MS"/>
      <w:sz w:val="24"/>
      <w:szCs w:val="24"/>
      <w:lang w:eastAsia="en-US"/>
    </w:rPr>
  </w:style>
  <w:style w:type="table" w:styleId="Mkatabulky">
    <w:name w:val="Table Grid"/>
    <w:basedOn w:val="Normlntabulka"/>
    <w:uiPriority w:val="59"/>
    <w:rsid w:val="000F7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C1000B"/>
    <w:rPr>
      <w:sz w:val="20"/>
      <w:szCs w:val="20"/>
    </w:rPr>
  </w:style>
  <w:style w:type="character" w:customStyle="1" w:styleId="TextpoznpodarouChar">
    <w:name w:val="Text pozn. pod čarou Char"/>
    <w:basedOn w:val="Standardnpsmoodstavce"/>
    <w:link w:val="Textpoznpodarou"/>
    <w:uiPriority w:val="99"/>
    <w:semiHidden/>
    <w:rsid w:val="00C1000B"/>
    <w:rPr>
      <w:rFonts w:ascii="Arial Unicode MS" w:hAnsi="Arial Unicode MS"/>
      <w:lang w:eastAsia="en-US"/>
    </w:rPr>
  </w:style>
  <w:style w:type="character" w:styleId="Znakapoznpodarou">
    <w:name w:val="footnote reference"/>
    <w:basedOn w:val="Standardnpsmoodstavce"/>
    <w:uiPriority w:val="99"/>
    <w:semiHidden/>
    <w:unhideWhenUsed/>
    <w:rsid w:val="00C1000B"/>
    <w:rPr>
      <w:vertAlign w:val="superscript"/>
    </w:rPr>
  </w:style>
  <w:style w:type="character" w:styleId="Odkaznakoment">
    <w:name w:val="annotation reference"/>
    <w:basedOn w:val="Standardnpsmoodstavce"/>
    <w:uiPriority w:val="99"/>
    <w:semiHidden/>
    <w:unhideWhenUsed/>
    <w:rsid w:val="007D6B90"/>
    <w:rPr>
      <w:sz w:val="16"/>
      <w:szCs w:val="16"/>
    </w:rPr>
  </w:style>
  <w:style w:type="paragraph" w:styleId="Textkomente">
    <w:name w:val="annotation text"/>
    <w:basedOn w:val="Normln"/>
    <w:link w:val="TextkomenteChar"/>
    <w:uiPriority w:val="99"/>
    <w:semiHidden/>
    <w:unhideWhenUsed/>
    <w:rsid w:val="007D6B90"/>
    <w:rPr>
      <w:sz w:val="20"/>
      <w:szCs w:val="20"/>
    </w:rPr>
  </w:style>
  <w:style w:type="character" w:customStyle="1" w:styleId="TextkomenteChar">
    <w:name w:val="Text komentáře Char"/>
    <w:basedOn w:val="Standardnpsmoodstavce"/>
    <w:link w:val="Textkomente"/>
    <w:uiPriority w:val="99"/>
    <w:semiHidden/>
    <w:rsid w:val="007D6B90"/>
    <w:rPr>
      <w:rFonts w:ascii="Arial Unicode MS" w:hAnsi="Arial Unicode MS"/>
      <w:lang w:eastAsia="en-US"/>
    </w:rPr>
  </w:style>
  <w:style w:type="paragraph" w:styleId="Pedmtkomente">
    <w:name w:val="annotation subject"/>
    <w:basedOn w:val="Textkomente"/>
    <w:next w:val="Textkomente"/>
    <w:link w:val="PedmtkomenteChar"/>
    <w:uiPriority w:val="99"/>
    <w:semiHidden/>
    <w:unhideWhenUsed/>
    <w:rsid w:val="007D6B90"/>
    <w:rPr>
      <w:b/>
      <w:bCs/>
    </w:rPr>
  </w:style>
  <w:style w:type="character" w:customStyle="1" w:styleId="PedmtkomenteChar">
    <w:name w:val="Předmět komentáře Char"/>
    <w:basedOn w:val="TextkomenteChar"/>
    <w:link w:val="Pedmtkomente"/>
    <w:uiPriority w:val="99"/>
    <w:semiHidden/>
    <w:rsid w:val="007D6B90"/>
    <w:rPr>
      <w:b/>
      <w:bCs/>
    </w:rPr>
  </w:style>
  <w:style w:type="character" w:styleId="Sledovanodkaz">
    <w:name w:val="FollowedHyperlink"/>
    <w:basedOn w:val="Standardnpsmoodstavce"/>
    <w:uiPriority w:val="99"/>
    <w:semiHidden/>
    <w:unhideWhenUsed/>
    <w:rsid w:val="00520C66"/>
    <w:rPr>
      <w:color w:val="800080"/>
      <w:u w:val="single"/>
    </w:rPr>
  </w:style>
  <w:style w:type="paragraph" w:customStyle="1" w:styleId="xl70">
    <w:name w:val="xl70"/>
    <w:basedOn w:val="Normln"/>
    <w:rsid w:val="00520C66"/>
    <w:pPr>
      <w:pBdr>
        <w:top w:val="single" w:sz="4" w:space="0" w:color="auto"/>
        <w:left w:val="single" w:sz="4" w:space="0" w:color="auto"/>
        <w:bottom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b/>
      <w:bCs/>
      <w:color w:val="FFFFFF"/>
      <w:sz w:val="16"/>
      <w:szCs w:val="16"/>
      <w:lang w:eastAsia="cs-CZ"/>
    </w:rPr>
  </w:style>
  <w:style w:type="paragraph" w:customStyle="1" w:styleId="xl71">
    <w:name w:val="xl71"/>
    <w:basedOn w:val="Normln"/>
    <w:rsid w:val="00520C66"/>
    <w:pPr>
      <w:shd w:val="clear" w:color="000000" w:fill="DBE5F1"/>
      <w:suppressAutoHyphens w:val="0"/>
      <w:spacing w:before="100" w:beforeAutospacing="1" w:after="100" w:afterAutospacing="1"/>
      <w:jc w:val="left"/>
      <w:textAlignment w:val="center"/>
    </w:pPr>
    <w:rPr>
      <w:rFonts w:ascii="Arial" w:hAnsi="Arial" w:cs="Arial"/>
      <w:sz w:val="18"/>
      <w:szCs w:val="18"/>
      <w:lang w:eastAsia="cs-CZ"/>
    </w:rPr>
  </w:style>
  <w:style w:type="paragraph" w:customStyle="1" w:styleId="xl72">
    <w:name w:val="xl72"/>
    <w:basedOn w:val="Normln"/>
    <w:rsid w:val="00520C66"/>
    <w:pPr>
      <w:shd w:val="clear" w:color="000000" w:fill="8DB4E3"/>
      <w:suppressAutoHyphens w:val="0"/>
      <w:spacing w:before="100" w:beforeAutospacing="1" w:after="100" w:afterAutospacing="1"/>
      <w:jc w:val="left"/>
      <w:textAlignment w:val="center"/>
    </w:pPr>
    <w:rPr>
      <w:rFonts w:ascii="Arial" w:hAnsi="Arial" w:cs="Arial"/>
      <w:sz w:val="18"/>
      <w:szCs w:val="18"/>
      <w:lang w:eastAsia="cs-CZ"/>
    </w:rPr>
  </w:style>
  <w:style w:type="paragraph" w:customStyle="1" w:styleId="xl73">
    <w:name w:val="xl73"/>
    <w:basedOn w:val="Normln"/>
    <w:rsid w:val="00520C66"/>
    <w:pPr>
      <w:pBdr>
        <w:top w:val="single" w:sz="4" w:space="0" w:color="auto"/>
        <w:left w:val="single" w:sz="4" w:space="0" w:color="auto"/>
        <w:bottom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6"/>
      <w:szCs w:val="16"/>
      <w:lang w:eastAsia="cs-CZ"/>
    </w:rPr>
  </w:style>
  <w:style w:type="paragraph" w:customStyle="1" w:styleId="xl74">
    <w:name w:val="xl74"/>
    <w:basedOn w:val="Normln"/>
    <w:rsid w:val="00520C66"/>
    <w:pPr>
      <w:shd w:val="clear" w:color="000000" w:fill="B8CCE4"/>
      <w:suppressAutoHyphens w:val="0"/>
      <w:spacing w:before="100" w:beforeAutospacing="1" w:after="100" w:afterAutospacing="1"/>
      <w:jc w:val="center"/>
    </w:pPr>
    <w:rPr>
      <w:rFonts w:ascii="Arial" w:hAnsi="Arial" w:cs="Arial"/>
      <w:sz w:val="18"/>
      <w:szCs w:val="18"/>
      <w:lang w:eastAsia="cs-CZ"/>
    </w:rPr>
  </w:style>
  <w:style w:type="character" w:customStyle="1" w:styleId="Zkladntextodsazen3Char">
    <w:name w:val="Základní text odsazený 3 Char"/>
    <w:basedOn w:val="Standardnpsmoodstavce"/>
    <w:link w:val="Zkladntextodsazen3"/>
    <w:rsid w:val="00A80F14"/>
    <w:rPr>
      <w:sz w:val="16"/>
      <w:szCs w:val="16"/>
    </w:rPr>
  </w:style>
  <w:style w:type="paragraph" w:styleId="Zkladntextodsazen3">
    <w:name w:val="Body Text Indent 3"/>
    <w:basedOn w:val="Normln"/>
    <w:link w:val="Zkladntextodsazen3Char"/>
    <w:rsid w:val="00A80F14"/>
    <w:pPr>
      <w:spacing w:after="120"/>
      <w:ind w:left="283"/>
      <w:jc w:val="left"/>
    </w:pPr>
    <w:rPr>
      <w:rFonts w:ascii="Times New Roman" w:hAnsi="Times New Roman"/>
      <w:sz w:val="16"/>
      <w:szCs w:val="16"/>
      <w:lang w:eastAsia="cs-CZ"/>
    </w:rPr>
  </w:style>
  <w:style w:type="character" w:customStyle="1" w:styleId="Zkladntextodsazen3Char1">
    <w:name w:val="Základní text odsazený 3 Char1"/>
    <w:basedOn w:val="Standardnpsmoodstavce"/>
    <w:link w:val="Zkladntextodsazen3"/>
    <w:uiPriority w:val="99"/>
    <w:semiHidden/>
    <w:rsid w:val="00A80F14"/>
    <w:rPr>
      <w:rFonts w:ascii="Arial Unicode MS" w:hAnsi="Arial Unicode MS"/>
      <w:sz w:val="16"/>
      <w:szCs w:val="16"/>
      <w:lang w:eastAsia="en-US"/>
    </w:rPr>
  </w:style>
  <w:style w:type="paragraph" w:customStyle="1" w:styleId="Analzatext">
    <w:name w:val="Analýza text"/>
    <w:basedOn w:val="Normln"/>
    <w:rsid w:val="00660100"/>
    <w:pPr>
      <w:spacing w:after="120" w:line="264" w:lineRule="auto"/>
    </w:pPr>
    <w:rPr>
      <w:rFonts w:ascii="Arial" w:eastAsia="Calibri" w:hAnsi="Arial" w:cs="Arial"/>
      <w:szCs w:val="22"/>
      <w:lang w:eastAsia="zh-CN"/>
    </w:rPr>
  </w:style>
  <w:style w:type="paragraph" w:styleId="Zkladntext2">
    <w:name w:val="Body Text 2"/>
    <w:basedOn w:val="Normln"/>
    <w:link w:val="Zkladntext2Char"/>
    <w:uiPriority w:val="99"/>
    <w:semiHidden/>
    <w:unhideWhenUsed/>
    <w:rsid w:val="00363A22"/>
    <w:pPr>
      <w:spacing w:after="120" w:line="480" w:lineRule="auto"/>
    </w:pPr>
  </w:style>
  <w:style w:type="character" w:customStyle="1" w:styleId="Zkladntext2Char">
    <w:name w:val="Základní text 2 Char"/>
    <w:basedOn w:val="Standardnpsmoodstavce"/>
    <w:link w:val="Zkladntext2"/>
    <w:uiPriority w:val="99"/>
    <w:semiHidden/>
    <w:rsid w:val="00363A22"/>
    <w:rPr>
      <w:rFonts w:ascii="Arial Unicode MS" w:hAnsi="Arial Unicode MS"/>
      <w:sz w:val="22"/>
      <w:szCs w:val="24"/>
      <w:lang w:eastAsia="en-US"/>
    </w:rPr>
  </w:style>
  <w:style w:type="paragraph" w:styleId="Normlnweb">
    <w:name w:val="Normal (Web)"/>
    <w:basedOn w:val="Normln"/>
    <w:uiPriority w:val="99"/>
    <w:unhideWhenUsed/>
    <w:rsid w:val="00AC0536"/>
    <w:pPr>
      <w:suppressAutoHyphens w:val="0"/>
      <w:spacing w:before="100" w:beforeAutospacing="1" w:after="119"/>
      <w:jc w:val="left"/>
    </w:pPr>
    <w:rPr>
      <w:rFonts w:ascii="Times New Roman" w:hAnsi="Times New Roman"/>
      <w:sz w:val="24"/>
      <w:lang w:eastAsia="cs-CZ"/>
    </w:rPr>
  </w:style>
  <w:style w:type="paragraph" w:customStyle="1" w:styleId="Default">
    <w:name w:val="Default"/>
    <w:rsid w:val="00A92273"/>
    <w:pPr>
      <w:autoSpaceDE w:val="0"/>
      <w:autoSpaceDN w:val="0"/>
      <w:adjustRightInd w:val="0"/>
    </w:pPr>
    <w:rPr>
      <w:color w:val="000000"/>
      <w:sz w:val="24"/>
      <w:szCs w:val="24"/>
    </w:rPr>
  </w:style>
  <w:style w:type="character" w:customStyle="1" w:styleId="st">
    <w:name w:val="st"/>
    <w:basedOn w:val="Standardnpsmoodstavce"/>
    <w:rsid w:val="00A92273"/>
  </w:style>
  <w:style w:type="character" w:customStyle="1" w:styleId="reference-text">
    <w:name w:val="reference-text"/>
    <w:basedOn w:val="Standardnpsmoodstavce"/>
    <w:rsid w:val="00A92273"/>
  </w:style>
  <w:style w:type="paragraph" w:customStyle="1" w:styleId="literatura">
    <w:name w:val="literatura"/>
    <w:basedOn w:val="Normln"/>
    <w:next w:val="Normln"/>
    <w:rsid w:val="00A92273"/>
    <w:pPr>
      <w:tabs>
        <w:tab w:val="left" w:pos="1701"/>
        <w:tab w:val="left" w:pos="1985"/>
      </w:tabs>
      <w:spacing w:after="0"/>
      <w:ind w:left="1985" w:hanging="1985"/>
    </w:pPr>
    <w:rPr>
      <w:rFonts w:ascii="Times New Roman" w:hAnsi="Times New Roman"/>
      <w:sz w:val="24"/>
      <w:szCs w:val="20"/>
      <w:lang w:eastAsia="cs-CZ"/>
    </w:rPr>
  </w:style>
  <w:style w:type="paragraph" w:customStyle="1" w:styleId="alizarinLTUntertitel">
    <w:name w:val="alizarin~LT~Untertitel"/>
    <w:uiPriority w:val="99"/>
    <w:rsid w:val="002B6AB1"/>
    <w:pPr>
      <w:autoSpaceDE w:val="0"/>
      <w:autoSpaceDN w:val="0"/>
      <w:adjustRightInd w:val="0"/>
    </w:pPr>
    <w:rPr>
      <w:rFonts w:ascii="FreeSans" w:hAnsi="FreeSans" w:cs="FreeSans"/>
      <w:color w:val="1C1C1C"/>
      <w:kern w:val="1"/>
      <w:sz w:val="64"/>
      <w:szCs w:val="64"/>
    </w:rPr>
  </w:style>
  <w:style w:type="paragraph" w:customStyle="1" w:styleId="alizarinLTGliederung1">
    <w:name w:val="alizarin~LT~Gliederung 1"/>
    <w:uiPriority w:val="99"/>
    <w:rsid w:val="00302273"/>
    <w:pPr>
      <w:autoSpaceDE w:val="0"/>
      <w:autoSpaceDN w:val="0"/>
      <w:adjustRightInd w:val="0"/>
      <w:spacing w:after="228"/>
    </w:pPr>
    <w:rPr>
      <w:rFonts w:ascii="FreeSans" w:hAnsi="FreeSans" w:cs="FreeSans"/>
      <w:color w:val="1C1C1C"/>
      <w:kern w:val="1"/>
      <w:sz w:val="64"/>
      <w:szCs w:val="64"/>
    </w:rPr>
  </w:style>
  <w:style w:type="paragraph" w:styleId="Obsah4">
    <w:name w:val="toc 4"/>
    <w:basedOn w:val="Normln"/>
    <w:next w:val="Normln"/>
    <w:autoRedefine/>
    <w:uiPriority w:val="39"/>
    <w:unhideWhenUsed/>
    <w:rsid w:val="00D53CB0"/>
    <w:pPr>
      <w:suppressAutoHyphens w:val="0"/>
      <w:spacing w:after="100" w:line="276" w:lineRule="auto"/>
      <w:ind w:left="660"/>
      <w:jc w:val="left"/>
    </w:pPr>
    <w:rPr>
      <w:rFonts w:asciiTheme="minorHAnsi" w:eastAsiaTheme="minorEastAsia" w:hAnsiTheme="minorHAnsi" w:cstheme="minorBidi"/>
      <w:szCs w:val="22"/>
      <w:lang w:eastAsia="cs-CZ"/>
    </w:rPr>
  </w:style>
  <w:style w:type="paragraph" w:styleId="Obsah5">
    <w:name w:val="toc 5"/>
    <w:basedOn w:val="Normln"/>
    <w:next w:val="Normln"/>
    <w:autoRedefine/>
    <w:uiPriority w:val="39"/>
    <w:unhideWhenUsed/>
    <w:rsid w:val="00D53CB0"/>
    <w:pPr>
      <w:suppressAutoHyphens w:val="0"/>
      <w:spacing w:after="100" w:line="276" w:lineRule="auto"/>
      <w:ind w:left="880"/>
      <w:jc w:val="left"/>
    </w:pPr>
    <w:rPr>
      <w:rFonts w:asciiTheme="minorHAnsi" w:eastAsiaTheme="minorEastAsia" w:hAnsiTheme="minorHAnsi" w:cstheme="minorBidi"/>
      <w:szCs w:val="22"/>
      <w:lang w:eastAsia="cs-CZ"/>
    </w:rPr>
  </w:style>
  <w:style w:type="paragraph" w:styleId="Obsah6">
    <w:name w:val="toc 6"/>
    <w:basedOn w:val="Normln"/>
    <w:next w:val="Normln"/>
    <w:autoRedefine/>
    <w:uiPriority w:val="39"/>
    <w:unhideWhenUsed/>
    <w:rsid w:val="00D53CB0"/>
    <w:pPr>
      <w:suppressAutoHyphens w:val="0"/>
      <w:spacing w:after="100" w:line="276" w:lineRule="auto"/>
      <w:ind w:left="1100"/>
      <w:jc w:val="left"/>
    </w:pPr>
    <w:rPr>
      <w:rFonts w:asciiTheme="minorHAnsi" w:eastAsiaTheme="minorEastAsia" w:hAnsiTheme="minorHAnsi" w:cstheme="minorBidi"/>
      <w:szCs w:val="22"/>
      <w:lang w:eastAsia="cs-CZ"/>
    </w:rPr>
  </w:style>
  <w:style w:type="paragraph" w:styleId="Obsah7">
    <w:name w:val="toc 7"/>
    <w:basedOn w:val="Normln"/>
    <w:next w:val="Normln"/>
    <w:autoRedefine/>
    <w:uiPriority w:val="39"/>
    <w:unhideWhenUsed/>
    <w:rsid w:val="00D53CB0"/>
    <w:pPr>
      <w:suppressAutoHyphens w:val="0"/>
      <w:spacing w:after="100" w:line="276" w:lineRule="auto"/>
      <w:ind w:left="1320"/>
      <w:jc w:val="left"/>
    </w:pPr>
    <w:rPr>
      <w:rFonts w:asciiTheme="minorHAnsi" w:eastAsiaTheme="minorEastAsia" w:hAnsiTheme="minorHAnsi" w:cstheme="minorBidi"/>
      <w:szCs w:val="22"/>
      <w:lang w:eastAsia="cs-CZ"/>
    </w:rPr>
  </w:style>
  <w:style w:type="paragraph" w:styleId="Obsah8">
    <w:name w:val="toc 8"/>
    <w:basedOn w:val="Normln"/>
    <w:next w:val="Normln"/>
    <w:autoRedefine/>
    <w:uiPriority w:val="39"/>
    <w:unhideWhenUsed/>
    <w:rsid w:val="00D53CB0"/>
    <w:pPr>
      <w:suppressAutoHyphens w:val="0"/>
      <w:spacing w:after="100" w:line="276" w:lineRule="auto"/>
      <w:ind w:left="1540"/>
      <w:jc w:val="left"/>
    </w:pPr>
    <w:rPr>
      <w:rFonts w:asciiTheme="minorHAnsi" w:eastAsiaTheme="minorEastAsia" w:hAnsiTheme="minorHAnsi" w:cstheme="minorBidi"/>
      <w:szCs w:val="22"/>
      <w:lang w:eastAsia="cs-CZ"/>
    </w:rPr>
  </w:style>
  <w:style w:type="paragraph" w:styleId="Obsah9">
    <w:name w:val="toc 9"/>
    <w:basedOn w:val="Normln"/>
    <w:next w:val="Normln"/>
    <w:autoRedefine/>
    <w:uiPriority w:val="39"/>
    <w:unhideWhenUsed/>
    <w:rsid w:val="00D53CB0"/>
    <w:pPr>
      <w:suppressAutoHyphens w:val="0"/>
      <w:spacing w:after="100" w:line="276" w:lineRule="auto"/>
      <w:ind w:left="1760"/>
      <w:jc w:val="left"/>
    </w:pPr>
    <w:rPr>
      <w:rFonts w:asciiTheme="minorHAnsi" w:eastAsiaTheme="minorEastAsia" w:hAnsiTheme="minorHAnsi" w:cstheme="minorBidi"/>
      <w:szCs w:val="22"/>
      <w:lang w:eastAsia="cs-CZ"/>
    </w:rPr>
  </w:style>
</w:styles>
</file>

<file path=word/webSettings.xml><?xml version="1.0" encoding="utf-8"?>
<w:webSettings xmlns:r="http://schemas.openxmlformats.org/officeDocument/2006/relationships" xmlns:w="http://schemas.openxmlformats.org/wordprocessingml/2006/main">
  <w:divs>
    <w:div w:id="23755295">
      <w:bodyDiv w:val="1"/>
      <w:marLeft w:val="0"/>
      <w:marRight w:val="0"/>
      <w:marTop w:val="0"/>
      <w:marBottom w:val="0"/>
      <w:divBdr>
        <w:top w:val="none" w:sz="0" w:space="0" w:color="auto"/>
        <w:left w:val="none" w:sz="0" w:space="0" w:color="auto"/>
        <w:bottom w:val="none" w:sz="0" w:space="0" w:color="auto"/>
        <w:right w:val="none" w:sz="0" w:space="0" w:color="auto"/>
      </w:divBdr>
    </w:div>
    <w:div w:id="66846784">
      <w:bodyDiv w:val="1"/>
      <w:marLeft w:val="0"/>
      <w:marRight w:val="0"/>
      <w:marTop w:val="0"/>
      <w:marBottom w:val="0"/>
      <w:divBdr>
        <w:top w:val="none" w:sz="0" w:space="0" w:color="auto"/>
        <w:left w:val="none" w:sz="0" w:space="0" w:color="auto"/>
        <w:bottom w:val="none" w:sz="0" w:space="0" w:color="auto"/>
        <w:right w:val="none" w:sz="0" w:space="0" w:color="auto"/>
      </w:divBdr>
    </w:div>
    <w:div w:id="83888131">
      <w:bodyDiv w:val="1"/>
      <w:marLeft w:val="0"/>
      <w:marRight w:val="0"/>
      <w:marTop w:val="0"/>
      <w:marBottom w:val="0"/>
      <w:divBdr>
        <w:top w:val="none" w:sz="0" w:space="0" w:color="auto"/>
        <w:left w:val="none" w:sz="0" w:space="0" w:color="auto"/>
        <w:bottom w:val="none" w:sz="0" w:space="0" w:color="auto"/>
        <w:right w:val="none" w:sz="0" w:space="0" w:color="auto"/>
      </w:divBdr>
    </w:div>
    <w:div w:id="94711915">
      <w:bodyDiv w:val="1"/>
      <w:marLeft w:val="0"/>
      <w:marRight w:val="0"/>
      <w:marTop w:val="0"/>
      <w:marBottom w:val="0"/>
      <w:divBdr>
        <w:top w:val="none" w:sz="0" w:space="0" w:color="auto"/>
        <w:left w:val="none" w:sz="0" w:space="0" w:color="auto"/>
        <w:bottom w:val="none" w:sz="0" w:space="0" w:color="auto"/>
        <w:right w:val="none" w:sz="0" w:space="0" w:color="auto"/>
      </w:divBdr>
    </w:div>
    <w:div w:id="122621316">
      <w:bodyDiv w:val="1"/>
      <w:marLeft w:val="0"/>
      <w:marRight w:val="0"/>
      <w:marTop w:val="0"/>
      <w:marBottom w:val="0"/>
      <w:divBdr>
        <w:top w:val="none" w:sz="0" w:space="0" w:color="auto"/>
        <w:left w:val="none" w:sz="0" w:space="0" w:color="auto"/>
        <w:bottom w:val="none" w:sz="0" w:space="0" w:color="auto"/>
        <w:right w:val="none" w:sz="0" w:space="0" w:color="auto"/>
      </w:divBdr>
    </w:div>
    <w:div w:id="202712117">
      <w:bodyDiv w:val="1"/>
      <w:marLeft w:val="0"/>
      <w:marRight w:val="0"/>
      <w:marTop w:val="0"/>
      <w:marBottom w:val="0"/>
      <w:divBdr>
        <w:top w:val="none" w:sz="0" w:space="0" w:color="auto"/>
        <w:left w:val="none" w:sz="0" w:space="0" w:color="auto"/>
        <w:bottom w:val="none" w:sz="0" w:space="0" w:color="auto"/>
        <w:right w:val="none" w:sz="0" w:space="0" w:color="auto"/>
      </w:divBdr>
    </w:div>
    <w:div w:id="212884750">
      <w:bodyDiv w:val="1"/>
      <w:marLeft w:val="0"/>
      <w:marRight w:val="0"/>
      <w:marTop w:val="0"/>
      <w:marBottom w:val="0"/>
      <w:divBdr>
        <w:top w:val="none" w:sz="0" w:space="0" w:color="auto"/>
        <w:left w:val="none" w:sz="0" w:space="0" w:color="auto"/>
        <w:bottom w:val="none" w:sz="0" w:space="0" w:color="auto"/>
        <w:right w:val="none" w:sz="0" w:space="0" w:color="auto"/>
      </w:divBdr>
    </w:div>
    <w:div w:id="219053771">
      <w:bodyDiv w:val="1"/>
      <w:marLeft w:val="0"/>
      <w:marRight w:val="0"/>
      <w:marTop w:val="0"/>
      <w:marBottom w:val="0"/>
      <w:divBdr>
        <w:top w:val="none" w:sz="0" w:space="0" w:color="auto"/>
        <w:left w:val="none" w:sz="0" w:space="0" w:color="auto"/>
        <w:bottom w:val="none" w:sz="0" w:space="0" w:color="auto"/>
        <w:right w:val="none" w:sz="0" w:space="0" w:color="auto"/>
      </w:divBdr>
    </w:div>
    <w:div w:id="228468515">
      <w:bodyDiv w:val="1"/>
      <w:marLeft w:val="0"/>
      <w:marRight w:val="0"/>
      <w:marTop w:val="0"/>
      <w:marBottom w:val="0"/>
      <w:divBdr>
        <w:top w:val="none" w:sz="0" w:space="0" w:color="auto"/>
        <w:left w:val="none" w:sz="0" w:space="0" w:color="auto"/>
        <w:bottom w:val="none" w:sz="0" w:space="0" w:color="auto"/>
        <w:right w:val="none" w:sz="0" w:space="0" w:color="auto"/>
      </w:divBdr>
    </w:div>
    <w:div w:id="243537551">
      <w:bodyDiv w:val="1"/>
      <w:marLeft w:val="0"/>
      <w:marRight w:val="0"/>
      <w:marTop w:val="0"/>
      <w:marBottom w:val="0"/>
      <w:divBdr>
        <w:top w:val="none" w:sz="0" w:space="0" w:color="auto"/>
        <w:left w:val="none" w:sz="0" w:space="0" w:color="auto"/>
        <w:bottom w:val="none" w:sz="0" w:space="0" w:color="auto"/>
        <w:right w:val="none" w:sz="0" w:space="0" w:color="auto"/>
      </w:divBdr>
    </w:div>
    <w:div w:id="291600549">
      <w:bodyDiv w:val="1"/>
      <w:marLeft w:val="0"/>
      <w:marRight w:val="0"/>
      <w:marTop w:val="0"/>
      <w:marBottom w:val="0"/>
      <w:divBdr>
        <w:top w:val="none" w:sz="0" w:space="0" w:color="auto"/>
        <w:left w:val="none" w:sz="0" w:space="0" w:color="auto"/>
        <w:bottom w:val="none" w:sz="0" w:space="0" w:color="auto"/>
        <w:right w:val="none" w:sz="0" w:space="0" w:color="auto"/>
      </w:divBdr>
    </w:div>
    <w:div w:id="304894893">
      <w:bodyDiv w:val="1"/>
      <w:marLeft w:val="0"/>
      <w:marRight w:val="0"/>
      <w:marTop w:val="0"/>
      <w:marBottom w:val="0"/>
      <w:divBdr>
        <w:top w:val="none" w:sz="0" w:space="0" w:color="auto"/>
        <w:left w:val="none" w:sz="0" w:space="0" w:color="auto"/>
        <w:bottom w:val="none" w:sz="0" w:space="0" w:color="auto"/>
        <w:right w:val="none" w:sz="0" w:space="0" w:color="auto"/>
      </w:divBdr>
    </w:div>
    <w:div w:id="309599518">
      <w:bodyDiv w:val="1"/>
      <w:marLeft w:val="0"/>
      <w:marRight w:val="0"/>
      <w:marTop w:val="0"/>
      <w:marBottom w:val="0"/>
      <w:divBdr>
        <w:top w:val="none" w:sz="0" w:space="0" w:color="auto"/>
        <w:left w:val="none" w:sz="0" w:space="0" w:color="auto"/>
        <w:bottom w:val="none" w:sz="0" w:space="0" w:color="auto"/>
        <w:right w:val="none" w:sz="0" w:space="0" w:color="auto"/>
      </w:divBdr>
    </w:div>
    <w:div w:id="432016179">
      <w:bodyDiv w:val="1"/>
      <w:marLeft w:val="0"/>
      <w:marRight w:val="0"/>
      <w:marTop w:val="0"/>
      <w:marBottom w:val="0"/>
      <w:divBdr>
        <w:top w:val="none" w:sz="0" w:space="0" w:color="auto"/>
        <w:left w:val="none" w:sz="0" w:space="0" w:color="auto"/>
        <w:bottom w:val="none" w:sz="0" w:space="0" w:color="auto"/>
        <w:right w:val="none" w:sz="0" w:space="0" w:color="auto"/>
      </w:divBdr>
    </w:div>
    <w:div w:id="455031982">
      <w:bodyDiv w:val="1"/>
      <w:marLeft w:val="0"/>
      <w:marRight w:val="0"/>
      <w:marTop w:val="0"/>
      <w:marBottom w:val="0"/>
      <w:divBdr>
        <w:top w:val="none" w:sz="0" w:space="0" w:color="auto"/>
        <w:left w:val="none" w:sz="0" w:space="0" w:color="auto"/>
        <w:bottom w:val="none" w:sz="0" w:space="0" w:color="auto"/>
        <w:right w:val="none" w:sz="0" w:space="0" w:color="auto"/>
      </w:divBdr>
    </w:div>
    <w:div w:id="520438581">
      <w:bodyDiv w:val="1"/>
      <w:marLeft w:val="0"/>
      <w:marRight w:val="0"/>
      <w:marTop w:val="0"/>
      <w:marBottom w:val="0"/>
      <w:divBdr>
        <w:top w:val="none" w:sz="0" w:space="0" w:color="auto"/>
        <w:left w:val="none" w:sz="0" w:space="0" w:color="auto"/>
        <w:bottom w:val="none" w:sz="0" w:space="0" w:color="auto"/>
        <w:right w:val="none" w:sz="0" w:space="0" w:color="auto"/>
      </w:divBdr>
    </w:div>
    <w:div w:id="535393244">
      <w:bodyDiv w:val="1"/>
      <w:marLeft w:val="0"/>
      <w:marRight w:val="0"/>
      <w:marTop w:val="0"/>
      <w:marBottom w:val="0"/>
      <w:divBdr>
        <w:top w:val="none" w:sz="0" w:space="0" w:color="auto"/>
        <w:left w:val="none" w:sz="0" w:space="0" w:color="auto"/>
        <w:bottom w:val="none" w:sz="0" w:space="0" w:color="auto"/>
        <w:right w:val="none" w:sz="0" w:space="0" w:color="auto"/>
      </w:divBdr>
    </w:div>
    <w:div w:id="566770260">
      <w:bodyDiv w:val="1"/>
      <w:marLeft w:val="0"/>
      <w:marRight w:val="0"/>
      <w:marTop w:val="0"/>
      <w:marBottom w:val="0"/>
      <w:divBdr>
        <w:top w:val="none" w:sz="0" w:space="0" w:color="auto"/>
        <w:left w:val="none" w:sz="0" w:space="0" w:color="auto"/>
        <w:bottom w:val="none" w:sz="0" w:space="0" w:color="auto"/>
        <w:right w:val="none" w:sz="0" w:space="0" w:color="auto"/>
      </w:divBdr>
    </w:div>
    <w:div w:id="573704935">
      <w:bodyDiv w:val="1"/>
      <w:marLeft w:val="0"/>
      <w:marRight w:val="0"/>
      <w:marTop w:val="0"/>
      <w:marBottom w:val="0"/>
      <w:divBdr>
        <w:top w:val="none" w:sz="0" w:space="0" w:color="auto"/>
        <w:left w:val="none" w:sz="0" w:space="0" w:color="auto"/>
        <w:bottom w:val="none" w:sz="0" w:space="0" w:color="auto"/>
        <w:right w:val="none" w:sz="0" w:space="0" w:color="auto"/>
      </w:divBdr>
    </w:div>
    <w:div w:id="583992676">
      <w:bodyDiv w:val="1"/>
      <w:marLeft w:val="0"/>
      <w:marRight w:val="0"/>
      <w:marTop w:val="0"/>
      <w:marBottom w:val="0"/>
      <w:divBdr>
        <w:top w:val="none" w:sz="0" w:space="0" w:color="auto"/>
        <w:left w:val="none" w:sz="0" w:space="0" w:color="auto"/>
        <w:bottom w:val="none" w:sz="0" w:space="0" w:color="auto"/>
        <w:right w:val="none" w:sz="0" w:space="0" w:color="auto"/>
      </w:divBdr>
    </w:div>
    <w:div w:id="613095966">
      <w:bodyDiv w:val="1"/>
      <w:marLeft w:val="0"/>
      <w:marRight w:val="0"/>
      <w:marTop w:val="0"/>
      <w:marBottom w:val="0"/>
      <w:divBdr>
        <w:top w:val="none" w:sz="0" w:space="0" w:color="auto"/>
        <w:left w:val="none" w:sz="0" w:space="0" w:color="auto"/>
        <w:bottom w:val="none" w:sz="0" w:space="0" w:color="auto"/>
        <w:right w:val="none" w:sz="0" w:space="0" w:color="auto"/>
      </w:divBdr>
    </w:div>
    <w:div w:id="632756373">
      <w:bodyDiv w:val="1"/>
      <w:marLeft w:val="0"/>
      <w:marRight w:val="0"/>
      <w:marTop w:val="0"/>
      <w:marBottom w:val="0"/>
      <w:divBdr>
        <w:top w:val="none" w:sz="0" w:space="0" w:color="auto"/>
        <w:left w:val="none" w:sz="0" w:space="0" w:color="auto"/>
        <w:bottom w:val="none" w:sz="0" w:space="0" w:color="auto"/>
        <w:right w:val="none" w:sz="0" w:space="0" w:color="auto"/>
      </w:divBdr>
    </w:div>
    <w:div w:id="635717093">
      <w:bodyDiv w:val="1"/>
      <w:marLeft w:val="0"/>
      <w:marRight w:val="0"/>
      <w:marTop w:val="0"/>
      <w:marBottom w:val="0"/>
      <w:divBdr>
        <w:top w:val="none" w:sz="0" w:space="0" w:color="auto"/>
        <w:left w:val="none" w:sz="0" w:space="0" w:color="auto"/>
        <w:bottom w:val="none" w:sz="0" w:space="0" w:color="auto"/>
        <w:right w:val="none" w:sz="0" w:space="0" w:color="auto"/>
      </w:divBdr>
    </w:div>
    <w:div w:id="669867183">
      <w:bodyDiv w:val="1"/>
      <w:marLeft w:val="0"/>
      <w:marRight w:val="0"/>
      <w:marTop w:val="0"/>
      <w:marBottom w:val="0"/>
      <w:divBdr>
        <w:top w:val="none" w:sz="0" w:space="0" w:color="auto"/>
        <w:left w:val="none" w:sz="0" w:space="0" w:color="auto"/>
        <w:bottom w:val="none" w:sz="0" w:space="0" w:color="auto"/>
        <w:right w:val="none" w:sz="0" w:space="0" w:color="auto"/>
      </w:divBdr>
    </w:div>
    <w:div w:id="670766019">
      <w:bodyDiv w:val="1"/>
      <w:marLeft w:val="0"/>
      <w:marRight w:val="0"/>
      <w:marTop w:val="0"/>
      <w:marBottom w:val="0"/>
      <w:divBdr>
        <w:top w:val="none" w:sz="0" w:space="0" w:color="auto"/>
        <w:left w:val="none" w:sz="0" w:space="0" w:color="auto"/>
        <w:bottom w:val="none" w:sz="0" w:space="0" w:color="auto"/>
        <w:right w:val="none" w:sz="0" w:space="0" w:color="auto"/>
      </w:divBdr>
    </w:div>
    <w:div w:id="674301984">
      <w:bodyDiv w:val="1"/>
      <w:marLeft w:val="0"/>
      <w:marRight w:val="0"/>
      <w:marTop w:val="0"/>
      <w:marBottom w:val="0"/>
      <w:divBdr>
        <w:top w:val="none" w:sz="0" w:space="0" w:color="auto"/>
        <w:left w:val="none" w:sz="0" w:space="0" w:color="auto"/>
        <w:bottom w:val="none" w:sz="0" w:space="0" w:color="auto"/>
        <w:right w:val="none" w:sz="0" w:space="0" w:color="auto"/>
      </w:divBdr>
    </w:div>
    <w:div w:id="689450240">
      <w:bodyDiv w:val="1"/>
      <w:marLeft w:val="0"/>
      <w:marRight w:val="0"/>
      <w:marTop w:val="0"/>
      <w:marBottom w:val="0"/>
      <w:divBdr>
        <w:top w:val="none" w:sz="0" w:space="0" w:color="auto"/>
        <w:left w:val="none" w:sz="0" w:space="0" w:color="auto"/>
        <w:bottom w:val="none" w:sz="0" w:space="0" w:color="auto"/>
        <w:right w:val="none" w:sz="0" w:space="0" w:color="auto"/>
      </w:divBdr>
    </w:div>
    <w:div w:id="691611306">
      <w:bodyDiv w:val="1"/>
      <w:marLeft w:val="0"/>
      <w:marRight w:val="0"/>
      <w:marTop w:val="0"/>
      <w:marBottom w:val="0"/>
      <w:divBdr>
        <w:top w:val="none" w:sz="0" w:space="0" w:color="auto"/>
        <w:left w:val="none" w:sz="0" w:space="0" w:color="auto"/>
        <w:bottom w:val="none" w:sz="0" w:space="0" w:color="auto"/>
        <w:right w:val="none" w:sz="0" w:space="0" w:color="auto"/>
      </w:divBdr>
    </w:div>
    <w:div w:id="706101695">
      <w:bodyDiv w:val="1"/>
      <w:marLeft w:val="0"/>
      <w:marRight w:val="0"/>
      <w:marTop w:val="0"/>
      <w:marBottom w:val="0"/>
      <w:divBdr>
        <w:top w:val="none" w:sz="0" w:space="0" w:color="auto"/>
        <w:left w:val="none" w:sz="0" w:space="0" w:color="auto"/>
        <w:bottom w:val="none" w:sz="0" w:space="0" w:color="auto"/>
        <w:right w:val="none" w:sz="0" w:space="0" w:color="auto"/>
      </w:divBdr>
    </w:div>
    <w:div w:id="721903900">
      <w:bodyDiv w:val="1"/>
      <w:marLeft w:val="0"/>
      <w:marRight w:val="0"/>
      <w:marTop w:val="0"/>
      <w:marBottom w:val="0"/>
      <w:divBdr>
        <w:top w:val="none" w:sz="0" w:space="0" w:color="auto"/>
        <w:left w:val="none" w:sz="0" w:space="0" w:color="auto"/>
        <w:bottom w:val="none" w:sz="0" w:space="0" w:color="auto"/>
        <w:right w:val="none" w:sz="0" w:space="0" w:color="auto"/>
      </w:divBdr>
    </w:div>
    <w:div w:id="723795709">
      <w:bodyDiv w:val="1"/>
      <w:marLeft w:val="0"/>
      <w:marRight w:val="0"/>
      <w:marTop w:val="0"/>
      <w:marBottom w:val="0"/>
      <w:divBdr>
        <w:top w:val="none" w:sz="0" w:space="0" w:color="auto"/>
        <w:left w:val="none" w:sz="0" w:space="0" w:color="auto"/>
        <w:bottom w:val="none" w:sz="0" w:space="0" w:color="auto"/>
        <w:right w:val="none" w:sz="0" w:space="0" w:color="auto"/>
      </w:divBdr>
    </w:div>
    <w:div w:id="725370577">
      <w:bodyDiv w:val="1"/>
      <w:marLeft w:val="0"/>
      <w:marRight w:val="0"/>
      <w:marTop w:val="0"/>
      <w:marBottom w:val="0"/>
      <w:divBdr>
        <w:top w:val="none" w:sz="0" w:space="0" w:color="auto"/>
        <w:left w:val="none" w:sz="0" w:space="0" w:color="auto"/>
        <w:bottom w:val="none" w:sz="0" w:space="0" w:color="auto"/>
        <w:right w:val="none" w:sz="0" w:space="0" w:color="auto"/>
      </w:divBdr>
    </w:div>
    <w:div w:id="727874585">
      <w:bodyDiv w:val="1"/>
      <w:marLeft w:val="0"/>
      <w:marRight w:val="0"/>
      <w:marTop w:val="0"/>
      <w:marBottom w:val="0"/>
      <w:divBdr>
        <w:top w:val="none" w:sz="0" w:space="0" w:color="auto"/>
        <w:left w:val="none" w:sz="0" w:space="0" w:color="auto"/>
        <w:bottom w:val="none" w:sz="0" w:space="0" w:color="auto"/>
        <w:right w:val="none" w:sz="0" w:space="0" w:color="auto"/>
      </w:divBdr>
    </w:div>
    <w:div w:id="730466702">
      <w:bodyDiv w:val="1"/>
      <w:marLeft w:val="0"/>
      <w:marRight w:val="0"/>
      <w:marTop w:val="0"/>
      <w:marBottom w:val="0"/>
      <w:divBdr>
        <w:top w:val="none" w:sz="0" w:space="0" w:color="auto"/>
        <w:left w:val="none" w:sz="0" w:space="0" w:color="auto"/>
        <w:bottom w:val="none" w:sz="0" w:space="0" w:color="auto"/>
        <w:right w:val="none" w:sz="0" w:space="0" w:color="auto"/>
      </w:divBdr>
    </w:div>
    <w:div w:id="756826834">
      <w:bodyDiv w:val="1"/>
      <w:marLeft w:val="0"/>
      <w:marRight w:val="0"/>
      <w:marTop w:val="0"/>
      <w:marBottom w:val="0"/>
      <w:divBdr>
        <w:top w:val="none" w:sz="0" w:space="0" w:color="auto"/>
        <w:left w:val="none" w:sz="0" w:space="0" w:color="auto"/>
        <w:bottom w:val="none" w:sz="0" w:space="0" w:color="auto"/>
        <w:right w:val="none" w:sz="0" w:space="0" w:color="auto"/>
      </w:divBdr>
    </w:div>
    <w:div w:id="788205902">
      <w:bodyDiv w:val="1"/>
      <w:marLeft w:val="0"/>
      <w:marRight w:val="0"/>
      <w:marTop w:val="0"/>
      <w:marBottom w:val="0"/>
      <w:divBdr>
        <w:top w:val="none" w:sz="0" w:space="0" w:color="auto"/>
        <w:left w:val="none" w:sz="0" w:space="0" w:color="auto"/>
        <w:bottom w:val="none" w:sz="0" w:space="0" w:color="auto"/>
        <w:right w:val="none" w:sz="0" w:space="0" w:color="auto"/>
      </w:divBdr>
    </w:div>
    <w:div w:id="797917216">
      <w:bodyDiv w:val="1"/>
      <w:marLeft w:val="0"/>
      <w:marRight w:val="0"/>
      <w:marTop w:val="0"/>
      <w:marBottom w:val="0"/>
      <w:divBdr>
        <w:top w:val="none" w:sz="0" w:space="0" w:color="auto"/>
        <w:left w:val="none" w:sz="0" w:space="0" w:color="auto"/>
        <w:bottom w:val="none" w:sz="0" w:space="0" w:color="auto"/>
        <w:right w:val="none" w:sz="0" w:space="0" w:color="auto"/>
      </w:divBdr>
    </w:div>
    <w:div w:id="824007554">
      <w:bodyDiv w:val="1"/>
      <w:marLeft w:val="0"/>
      <w:marRight w:val="0"/>
      <w:marTop w:val="0"/>
      <w:marBottom w:val="0"/>
      <w:divBdr>
        <w:top w:val="none" w:sz="0" w:space="0" w:color="auto"/>
        <w:left w:val="none" w:sz="0" w:space="0" w:color="auto"/>
        <w:bottom w:val="none" w:sz="0" w:space="0" w:color="auto"/>
        <w:right w:val="none" w:sz="0" w:space="0" w:color="auto"/>
      </w:divBdr>
    </w:div>
    <w:div w:id="837966184">
      <w:bodyDiv w:val="1"/>
      <w:marLeft w:val="0"/>
      <w:marRight w:val="0"/>
      <w:marTop w:val="0"/>
      <w:marBottom w:val="0"/>
      <w:divBdr>
        <w:top w:val="none" w:sz="0" w:space="0" w:color="auto"/>
        <w:left w:val="none" w:sz="0" w:space="0" w:color="auto"/>
        <w:bottom w:val="none" w:sz="0" w:space="0" w:color="auto"/>
        <w:right w:val="none" w:sz="0" w:space="0" w:color="auto"/>
      </w:divBdr>
    </w:div>
    <w:div w:id="871772539">
      <w:bodyDiv w:val="1"/>
      <w:marLeft w:val="0"/>
      <w:marRight w:val="0"/>
      <w:marTop w:val="0"/>
      <w:marBottom w:val="0"/>
      <w:divBdr>
        <w:top w:val="none" w:sz="0" w:space="0" w:color="auto"/>
        <w:left w:val="none" w:sz="0" w:space="0" w:color="auto"/>
        <w:bottom w:val="none" w:sz="0" w:space="0" w:color="auto"/>
        <w:right w:val="none" w:sz="0" w:space="0" w:color="auto"/>
      </w:divBdr>
    </w:div>
    <w:div w:id="875585130">
      <w:bodyDiv w:val="1"/>
      <w:marLeft w:val="0"/>
      <w:marRight w:val="0"/>
      <w:marTop w:val="0"/>
      <w:marBottom w:val="0"/>
      <w:divBdr>
        <w:top w:val="none" w:sz="0" w:space="0" w:color="auto"/>
        <w:left w:val="none" w:sz="0" w:space="0" w:color="auto"/>
        <w:bottom w:val="none" w:sz="0" w:space="0" w:color="auto"/>
        <w:right w:val="none" w:sz="0" w:space="0" w:color="auto"/>
      </w:divBdr>
    </w:div>
    <w:div w:id="911744495">
      <w:bodyDiv w:val="1"/>
      <w:marLeft w:val="0"/>
      <w:marRight w:val="0"/>
      <w:marTop w:val="0"/>
      <w:marBottom w:val="0"/>
      <w:divBdr>
        <w:top w:val="none" w:sz="0" w:space="0" w:color="auto"/>
        <w:left w:val="none" w:sz="0" w:space="0" w:color="auto"/>
        <w:bottom w:val="none" w:sz="0" w:space="0" w:color="auto"/>
        <w:right w:val="none" w:sz="0" w:space="0" w:color="auto"/>
      </w:divBdr>
    </w:div>
    <w:div w:id="956333344">
      <w:bodyDiv w:val="1"/>
      <w:marLeft w:val="0"/>
      <w:marRight w:val="0"/>
      <w:marTop w:val="0"/>
      <w:marBottom w:val="0"/>
      <w:divBdr>
        <w:top w:val="none" w:sz="0" w:space="0" w:color="auto"/>
        <w:left w:val="none" w:sz="0" w:space="0" w:color="auto"/>
        <w:bottom w:val="none" w:sz="0" w:space="0" w:color="auto"/>
        <w:right w:val="none" w:sz="0" w:space="0" w:color="auto"/>
      </w:divBdr>
    </w:div>
    <w:div w:id="958216966">
      <w:bodyDiv w:val="1"/>
      <w:marLeft w:val="0"/>
      <w:marRight w:val="0"/>
      <w:marTop w:val="0"/>
      <w:marBottom w:val="0"/>
      <w:divBdr>
        <w:top w:val="none" w:sz="0" w:space="0" w:color="auto"/>
        <w:left w:val="none" w:sz="0" w:space="0" w:color="auto"/>
        <w:bottom w:val="none" w:sz="0" w:space="0" w:color="auto"/>
        <w:right w:val="none" w:sz="0" w:space="0" w:color="auto"/>
      </w:divBdr>
    </w:div>
    <w:div w:id="982467806">
      <w:bodyDiv w:val="1"/>
      <w:marLeft w:val="0"/>
      <w:marRight w:val="0"/>
      <w:marTop w:val="0"/>
      <w:marBottom w:val="0"/>
      <w:divBdr>
        <w:top w:val="none" w:sz="0" w:space="0" w:color="auto"/>
        <w:left w:val="none" w:sz="0" w:space="0" w:color="auto"/>
        <w:bottom w:val="none" w:sz="0" w:space="0" w:color="auto"/>
        <w:right w:val="none" w:sz="0" w:space="0" w:color="auto"/>
      </w:divBdr>
    </w:div>
    <w:div w:id="1057626110">
      <w:bodyDiv w:val="1"/>
      <w:marLeft w:val="0"/>
      <w:marRight w:val="0"/>
      <w:marTop w:val="0"/>
      <w:marBottom w:val="0"/>
      <w:divBdr>
        <w:top w:val="none" w:sz="0" w:space="0" w:color="auto"/>
        <w:left w:val="none" w:sz="0" w:space="0" w:color="auto"/>
        <w:bottom w:val="none" w:sz="0" w:space="0" w:color="auto"/>
        <w:right w:val="none" w:sz="0" w:space="0" w:color="auto"/>
      </w:divBdr>
    </w:div>
    <w:div w:id="1115171121">
      <w:bodyDiv w:val="1"/>
      <w:marLeft w:val="0"/>
      <w:marRight w:val="0"/>
      <w:marTop w:val="0"/>
      <w:marBottom w:val="0"/>
      <w:divBdr>
        <w:top w:val="none" w:sz="0" w:space="0" w:color="auto"/>
        <w:left w:val="none" w:sz="0" w:space="0" w:color="auto"/>
        <w:bottom w:val="none" w:sz="0" w:space="0" w:color="auto"/>
        <w:right w:val="none" w:sz="0" w:space="0" w:color="auto"/>
      </w:divBdr>
    </w:div>
    <w:div w:id="1118336568">
      <w:bodyDiv w:val="1"/>
      <w:marLeft w:val="0"/>
      <w:marRight w:val="0"/>
      <w:marTop w:val="0"/>
      <w:marBottom w:val="0"/>
      <w:divBdr>
        <w:top w:val="none" w:sz="0" w:space="0" w:color="auto"/>
        <w:left w:val="none" w:sz="0" w:space="0" w:color="auto"/>
        <w:bottom w:val="none" w:sz="0" w:space="0" w:color="auto"/>
        <w:right w:val="none" w:sz="0" w:space="0" w:color="auto"/>
      </w:divBdr>
    </w:div>
    <w:div w:id="1120029001">
      <w:bodyDiv w:val="1"/>
      <w:marLeft w:val="0"/>
      <w:marRight w:val="0"/>
      <w:marTop w:val="0"/>
      <w:marBottom w:val="0"/>
      <w:divBdr>
        <w:top w:val="none" w:sz="0" w:space="0" w:color="auto"/>
        <w:left w:val="none" w:sz="0" w:space="0" w:color="auto"/>
        <w:bottom w:val="none" w:sz="0" w:space="0" w:color="auto"/>
        <w:right w:val="none" w:sz="0" w:space="0" w:color="auto"/>
      </w:divBdr>
    </w:div>
    <w:div w:id="1132599685">
      <w:bodyDiv w:val="1"/>
      <w:marLeft w:val="0"/>
      <w:marRight w:val="0"/>
      <w:marTop w:val="0"/>
      <w:marBottom w:val="0"/>
      <w:divBdr>
        <w:top w:val="none" w:sz="0" w:space="0" w:color="auto"/>
        <w:left w:val="none" w:sz="0" w:space="0" w:color="auto"/>
        <w:bottom w:val="none" w:sz="0" w:space="0" w:color="auto"/>
        <w:right w:val="none" w:sz="0" w:space="0" w:color="auto"/>
      </w:divBdr>
    </w:div>
    <w:div w:id="1151602758">
      <w:bodyDiv w:val="1"/>
      <w:marLeft w:val="0"/>
      <w:marRight w:val="0"/>
      <w:marTop w:val="0"/>
      <w:marBottom w:val="0"/>
      <w:divBdr>
        <w:top w:val="none" w:sz="0" w:space="0" w:color="auto"/>
        <w:left w:val="none" w:sz="0" w:space="0" w:color="auto"/>
        <w:bottom w:val="none" w:sz="0" w:space="0" w:color="auto"/>
        <w:right w:val="none" w:sz="0" w:space="0" w:color="auto"/>
      </w:divBdr>
    </w:div>
    <w:div w:id="1153253795">
      <w:bodyDiv w:val="1"/>
      <w:marLeft w:val="0"/>
      <w:marRight w:val="0"/>
      <w:marTop w:val="0"/>
      <w:marBottom w:val="0"/>
      <w:divBdr>
        <w:top w:val="none" w:sz="0" w:space="0" w:color="auto"/>
        <w:left w:val="none" w:sz="0" w:space="0" w:color="auto"/>
        <w:bottom w:val="none" w:sz="0" w:space="0" w:color="auto"/>
        <w:right w:val="none" w:sz="0" w:space="0" w:color="auto"/>
      </w:divBdr>
    </w:div>
    <w:div w:id="1311910706">
      <w:bodyDiv w:val="1"/>
      <w:marLeft w:val="0"/>
      <w:marRight w:val="0"/>
      <w:marTop w:val="0"/>
      <w:marBottom w:val="0"/>
      <w:divBdr>
        <w:top w:val="none" w:sz="0" w:space="0" w:color="auto"/>
        <w:left w:val="none" w:sz="0" w:space="0" w:color="auto"/>
        <w:bottom w:val="none" w:sz="0" w:space="0" w:color="auto"/>
        <w:right w:val="none" w:sz="0" w:space="0" w:color="auto"/>
      </w:divBdr>
    </w:div>
    <w:div w:id="1330712238">
      <w:bodyDiv w:val="1"/>
      <w:marLeft w:val="0"/>
      <w:marRight w:val="0"/>
      <w:marTop w:val="0"/>
      <w:marBottom w:val="0"/>
      <w:divBdr>
        <w:top w:val="none" w:sz="0" w:space="0" w:color="auto"/>
        <w:left w:val="none" w:sz="0" w:space="0" w:color="auto"/>
        <w:bottom w:val="none" w:sz="0" w:space="0" w:color="auto"/>
        <w:right w:val="none" w:sz="0" w:space="0" w:color="auto"/>
      </w:divBdr>
    </w:div>
    <w:div w:id="1344162816">
      <w:bodyDiv w:val="1"/>
      <w:marLeft w:val="0"/>
      <w:marRight w:val="0"/>
      <w:marTop w:val="0"/>
      <w:marBottom w:val="0"/>
      <w:divBdr>
        <w:top w:val="none" w:sz="0" w:space="0" w:color="auto"/>
        <w:left w:val="none" w:sz="0" w:space="0" w:color="auto"/>
        <w:bottom w:val="none" w:sz="0" w:space="0" w:color="auto"/>
        <w:right w:val="none" w:sz="0" w:space="0" w:color="auto"/>
      </w:divBdr>
    </w:div>
    <w:div w:id="1387753363">
      <w:bodyDiv w:val="1"/>
      <w:marLeft w:val="0"/>
      <w:marRight w:val="0"/>
      <w:marTop w:val="0"/>
      <w:marBottom w:val="0"/>
      <w:divBdr>
        <w:top w:val="none" w:sz="0" w:space="0" w:color="auto"/>
        <w:left w:val="none" w:sz="0" w:space="0" w:color="auto"/>
        <w:bottom w:val="none" w:sz="0" w:space="0" w:color="auto"/>
        <w:right w:val="none" w:sz="0" w:space="0" w:color="auto"/>
      </w:divBdr>
    </w:div>
    <w:div w:id="1420710152">
      <w:bodyDiv w:val="1"/>
      <w:marLeft w:val="0"/>
      <w:marRight w:val="0"/>
      <w:marTop w:val="0"/>
      <w:marBottom w:val="0"/>
      <w:divBdr>
        <w:top w:val="none" w:sz="0" w:space="0" w:color="auto"/>
        <w:left w:val="none" w:sz="0" w:space="0" w:color="auto"/>
        <w:bottom w:val="none" w:sz="0" w:space="0" w:color="auto"/>
        <w:right w:val="none" w:sz="0" w:space="0" w:color="auto"/>
      </w:divBdr>
    </w:div>
    <w:div w:id="1453817300">
      <w:bodyDiv w:val="1"/>
      <w:marLeft w:val="0"/>
      <w:marRight w:val="0"/>
      <w:marTop w:val="0"/>
      <w:marBottom w:val="0"/>
      <w:divBdr>
        <w:top w:val="none" w:sz="0" w:space="0" w:color="auto"/>
        <w:left w:val="none" w:sz="0" w:space="0" w:color="auto"/>
        <w:bottom w:val="none" w:sz="0" w:space="0" w:color="auto"/>
        <w:right w:val="none" w:sz="0" w:space="0" w:color="auto"/>
      </w:divBdr>
    </w:div>
    <w:div w:id="1457020266">
      <w:bodyDiv w:val="1"/>
      <w:marLeft w:val="0"/>
      <w:marRight w:val="0"/>
      <w:marTop w:val="0"/>
      <w:marBottom w:val="0"/>
      <w:divBdr>
        <w:top w:val="none" w:sz="0" w:space="0" w:color="auto"/>
        <w:left w:val="none" w:sz="0" w:space="0" w:color="auto"/>
        <w:bottom w:val="none" w:sz="0" w:space="0" w:color="auto"/>
        <w:right w:val="none" w:sz="0" w:space="0" w:color="auto"/>
      </w:divBdr>
    </w:div>
    <w:div w:id="1470443440">
      <w:bodyDiv w:val="1"/>
      <w:marLeft w:val="0"/>
      <w:marRight w:val="0"/>
      <w:marTop w:val="0"/>
      <w:marBottom w:val="0"/>
      <w:divBdr>
        <w:top w:val="none" w:sz="0" w:space="0" w:color="auto"/>
        <w:left w:val="none" w:sz="0" w:space="0" w:color="auto"/>
        <w:bottom w:val="none" w:sz="0" w:space="0" w:color="auto"/>
        <w:right w:val="none" w:sz="0" w:space="0" w:color="auto"/>
      </w:divBdr>
    </w:div>
    <w:div w:id="1480268036">
      <w:bodyDiv w:val="1"/>
      <w:marLeft w:val="0"/>
      <w:marRight w:val="0"/>
      <w:marTop w:val="0"/>
      <w:marBottom w:val="0"/>
      <w:divBdr>
        <w:top w:val="none" w:sz="0" w:space="0" w:color="auto"/>
        <w:left w:val="none" w:sz="0" w:space="0" w:color="auto"/>
        <w:bottom w:val="none" w:sz="0" w:space="0" w:color="auto"/>
        <w:right w:val="none" w:sz="0" w:space="0" w:color="auto"/>
      </w:divBdr>
    </w:div>
    <w:div w:id="1531189099">
      <w:bodyDiv w:val="1"/>
      <w:marLeft w:val="0"/>
      <w:marRight w:val="0"/>
      <w:marTop w:val="0"/>
      <w:marBottom w:val="0"/>
      <w:divBdr>
        <w:top w:val="none" w:sz="0" w:space="0" w:color="auto"/>
        <w:left w:val="none" w:sz="0" w:space="0" w:color="auto"/>
        <w:bottom w:val="none" w:sz="0" w:space="0" w:color="auto"/>
        <w:right w:val="none" w:sz="0" w:space="0" w:color="auto"/>
      </w:divBdr>
    </w:div>
    <w:div w:id="1533228424">
      <w:bodyDiv w:val="1"/>
      <w:marLeft w:val="0"/>
      <w:marRight w:val="0"/>
      <w:marTop w:val="0"/>
      <w:marBottom w:val="0"/>
      <w:divBdr>
        <w:top w:val="none" w:sz="0" w:space="0" w:color="auto"/>
        <w:left w:val="none" w:sz="0" w:space="0" w:color="auto"/>
        <w:bottom w:val="none" w:sz="0" w:space="0" w:color="auto"/>
        <w:right w:val="none" w:sz="0" w:space="0" w:color="auto"/>
      </w:divBdr>
    </w:div>
    <w:div w:id="1610895818">
      <w:bodyDiv w:val="1"/>
      <w:marLeft w:val="0"/>
      <w:marRight w:val="0"/>
      <w:marTop w:val="0"/>
      <w:marBottom w:val="0"/>
      <w:divBdr>
        <w:top w:val="none" w:sz="0" w:space="0" w:color="auto"/>
        <w:left w:val="none" w:sz="0" w:space="0" w:color="auto"/>
        <w:bottom w:val="none" w:sz="0" w:space="0" w:color="auto"/>
        <w:right w:val="none" w:sz="0" w:space="0" w:color="auto"/>
      </w:divBdr>
    </w:div>
    <w:div w:id="1631857951">
      <w:bodyDiv w:val="1"/>
      <w:marLeft w:val="0"/>
      <w:marRight w:val="0"/>
      <w:marTop w:val="0"/>
      <w:marBottom w:val="0"/>
      <w:divBdr>
        <w:top w:val="none" w:sz="0" w:space="0" w:color="auto"/>
        <w:left w:val="none" w:sz="0" w:space="0" w:color="auto"/>
        <w:bottom w:val="none" w:sz="0" w:space="0" w:color="auto"/>
        <w:right w:val="none" w:sz="0" w:space="0" w:color="auto"/>
      </w:divBdr>
    </w:div>
    <w:div w:id="1635256947">
      <w:bodyDiv w:val="1"/>
      <w:marLeft w:val="0"/>
      <w:marRight w:val="0"/>
      <w:marTop w:val="0"/>
      <w:marBottom w:val="0"/>
      <w:divBdr>
        <w:top w:val="none" w:sz="0" w:space="0" w:color="auto"/>
        <w:left w:val="none" w:sz="0" w:space="0" w:color="auto"/>
        <w:bottom w:val="none" w:sz="0" w:space="0" w:color="auto"/>
        <w:right w:val="none" w:sz="0" w:space="0" w:color="auto"/>
      </w:divBdr>
    </w:div>
    <w:div w:id="1716156055">
      <w:bodyDiv w:val="1"/>
      <w:marLeft w:val="0"/>
      <w:marRight w:val="0"/>
      <w:marTop w:val="0"/>
      <w:marBottom w:val="0"/>
      <w:divBdr>
        <w:top w:val="none" w:sz="0" w:space="0" w:color="auto"/>
        <w:left w:val="none" w:sz="0" w:space="0" w:color="auto"/>
        <w:bottom w:val="none" w:sz="0" w:space="0" w:color="auto"/>
        <w:right w:val="none" w:sz="0" w:space="0" w:color="auto"/>
      </w:divBdr>
    </w:div>
    <w:div w:id="1728724081">
      <w:bodyDiv w:val="1"/>
      <w:marLeft w:val="0"/>
      <w:marRight w:val="0"/>
      <w:marTop w:val="0"/>
      <w:marBottom w:val="0"/>
      <w:divBdr>
        <w:top w:val="none" w:sz="0" w:space="0" w:color="auto"/>
        <w:left w:val="none" w:sz="0" w:space="0" w:color="auto"/>
        <w:bottom w:val="none" w:sz="0" w:space="0" w:color="auto"/>
        <w:right w:val="none" w:sz="0" w:space="0" w:color="auto"/>
      </w:divBdr>
    </w:div>
    <w:div w:id="1737820234">
      <w:bodyDiv w:val="1"/>
      <w:marLeft w:val="0"/>
      <w:marRight w:val="0"/>
      <w:marTop w:val="0"/>
      <w:marBottom w:val="0"/>
      <w:divBdr>
        <w:top w:val="none" w:sz="0" w:space="0" w:color="auto"/>
        <w:left w:val="none" w:sz="0" w:space="0" w:color="auto"/>
        <w:bottom w:val="none" w:sz="0" w:space="0" w:color="auto"/>
        <w:right w:val="none" w:sz="0" w:space="0" w:color="auto"/>
      </w:divBdr>
    </w:div>
    <w:div w:id="1740978087">
      <w:bodyDiv w:val="1"/>
      <w:marLeft w:val="0"/>
      <w:marRight w:val="0"/>
      <w:marTop w:val="0"/>
      <w:marBottom w:val="0"/>
      <w:divBdr>
        <w:top w:val="none" w:sz="0" w:space="0" w:color="auto"/>
        <w:left w:val="none" w:sz="0" w:space="0" w:color="auto"/>
        <w:bottom w:val="none" w:sz="0" w:space="0" w:color="auto"/>
        <w:right w:val="none" w:sz="0" w:space="0" w:color="auto"/>
      </w:divBdr>
    </w:div>
    <w:div w:id="1746881509">
      <w:bodyDiv w:val="1"/>
      <w:marLeft w:val="0"/>
      <w:marRight w:val="0"/>
      <w:marTop w:val="0"/>
      <w:marBottom w:val="0"/>
      <w:divBdr>
        <w:top w:val="none" w:sz="0" w:space="0" w:color="auto"/>
        <w:left w:val="none" w:sz="0" w:space="0" w:color="auto"/>
        <w:bottom w:val="none" w:sz="0" w:space="0" w:color="auto"/>
        <w:right w:val="none" w:sz="0" w:space="0" w:color="auto"/>
      </w:divBdr>
    </w:div>
    <w:div w:id="1782147908">
      <w:bodyDiv w:val="1"/>
      <w:marLeft w:val="0"/>
      <w:marRight w:val="0"/>
      <w:marTop w:val="0"/>
      <w:marBottom w:val="0"/>
      <w:divBdr>
        <w:top w:val="none" w:sz="0" w:space="0" w:color="auto"/>
        <w:left w:val="none" w:sz="0" w:space="0" w:color="auto"/>
        <w:bottom w:val="none" w:sz="0" w:space="0" w:color="auto"/>
        <w:right w:val="none" w:sz="0" w:space="0" w:color="auto"/>
      </w:divBdr>
    </w:div>
    <w:div w:id="1801727037">
      <w:bodyDiv w:val="1"/>
      <w:marLeft w:val="0"/>
      <w:marRight w:val="0"/>
      <w:marTop w:val="0"/>
      <w:marBottom w:val="0"/>
      <w:divBdr>
        <w:top w:val="none" w:sz="0" w:space="0" w:color="auto"/>
        <w:left w:val="none" w:sz="0" w:space="0" w:color="auto"/>
        <w:bottom w:val="none" w:sz="0" w:space="0" w:color="auto"/>
        <w:right w:val="none" w:sz="0" w:space="0" w:color="auto"/>
      </w:divBdr>
    </w:div>
    <w:div w:id="1806964285">
      <w:bodyDiv w:val="1"/>
      <w:marLeft w:val="0"/>
      <w:marRight w:val="0"/>
      <w:marTop w:val="0"/>
      <w:marBottom w:val="0"/>
      <w:divBdr>
        <w:top w:val="none" w:sz="0" w:space="0" w:color="auto"/>
        <w:left w:val="none" w:sz="0" w:space="0" w:color="auto"/>
        <w:bottom w:val="none" w:sz="0" w:space="0" w:color="auto"/>
        <w:right w:val="none" w:sz="0" w:space="0" w:color="auto"/>
      </w:divBdr>
    </w:div>
    <w:div w:id="1844584161">
      <w:bodyDiv w:val="1"/>
      <w:marLeft w:val="0"/>
      <w:marRight w:val="0"/>
      <w:marTop w:val="0"/>
      <w:marBottom w:val="0"/>
      <w:divBdr>
        <w:top w:val="none" w:sz="0" w:space="0" w:color="auto"/>
        <w:left w:val="none" w:sz="0" w:space="0" w:color="auto"/>
        <w:bottom w:val="none" w:sz="0" w:space="0" w:color="auto"/>
        <w:right w:val="none" w:sz="0" w:space="0" w:color="auto"/>
      </w:divBdr>
    </w:div>
    <w:div w:id="1893074939">
      <w:bodyDiv w:val="1"/>
      <w:marLeft w:val="0"/>
      <w:marRight w:val="0"/>
      <w:marTop w:val="0"/>
      <w:marBottom w:val="0"/>
      <w:divBdr>
        <w:top w:val="none" w:sz="0" w:space="0" w:color="auto"/>
        <w:left w:val="none" w:sz="0" w:space="0" w:color="auto"/>
        <w:bottom w:val="none" w:sz="0" w:space="0" w:color="auto"/>
        <w:right w:val="none" w:sz="0" w:space="0" w:color="auto"/>
      </w:divBdr>
    </w:div>
    <w:div w:id="1894460244">
      <w:bodyDiv w:val="1"/>
      <w:marLeft w:val="0"/>
      <w:marRight w:val="0"/>
      <w:marTop w:val="0"/>
      <w:marBottom w:val="0"/>
      <w:divBdr>
        <w:top w:val="none" w:sz="0" w:space="0" w:color="auto"/>
        <w:left w:val="none" w:sz="0" w:space="0" w:color="auto"/>
        <w:bottom w:val="none" w:sz="0" w:space="0" w:color="auto"/>
        <w:right w:val="none" w:sz="0" w:space="0" w:color="auto"/>
      </w:divBdr>
    </w:div>
    <w:div w:id="1983390575">
      <w:bodyDiv w:val="1"/>
      <w:marLeft w:val="0"/>
      <w:marRight w:val="0"/>
      <w:marTop w:val="0"/>
      <w:marBottom w:val="0"/>
      <w:divBdr>
        <w:top w:val="none" w:sz="0" w:space="0" w:color="auto"/>
        <w:left w:val="none" w:sz="0" w:space="0" w:color="auto"/>
        <w:bottom w:val="none" w:sz="0" w:space="0" w:color="auto"/>
        <w:right w:val="none" w:sz="0" w:space="0" w:color="auto"/>
      </w:divBdr>
    </w:div>
    <w:div w:id="1998335819">
      <w:bodyDiv w:val="1"/>
      <w:marLeft w:val="0"/>
      <w:marRight w:val="0"/>
      <w:marTop w:val="0"/>
      <w:marBottom w:val="0"/>
      <w:divBdr>
        <w:top w:val="none" w:sz="0" w:space="0" w:color="auto"/>
        <w:left w:val="none" w:sz="0" w:space="0" w:color="auto"/>
        <w:bottom w:val="none" w:sz="0" w:space="0" w:color="auto"/>
        <w:right w:val="none" w:sz="0" w:space="0" w:color="auto"/>
      </w:divBdr>
    </w:div>
    <w:div w:id="2034573689">
      <w:bodyDiv w:val="1"/>
      <w:marLeft w:val="0"/>
      <w:marRight w:val="0"/>
      <w:marTop w:val="0"/>
      <w:marBottom w:val="0"/>
      <w:divBdr>
        <w:top w:val="none" w:sz="0" w:space="0" w:color="auto"/>
        <w:left w:val="none" w:sz="0" w:space="0" w:color="auto"/>
        <w:bottom w:val="none" w:sz="0" w:space="0" w:color="auto"/>
        <w:right w:val="none" w:sz="0" w:space="0" w:color="auto"/>
      </w:divBdr>
    </w:div>
    <w:div w:id="2051300090">
      <w:bodyDiv w:val="1"/>
      <w:marLeft w:val="0"/>
      <w:marRight w:val="0"/>
      <w:marTop w:val="0"/>
      <w:marBottom w:val="0"/>
      <w:divBdr>
        <w:top w:val="none" w:sz="0" w:space="0" w:color="auto"/>
        <w:left w:val="none" w:sz="0" w:space="0" w:color="auto"/>
        <w:bottom w:val="none" w:sz="0" w:space="0" w:color="auto"/>
        <w:right w:val="none" w:sz="0" w:space="0" w:color="auto"/>
      </w:divBdr>
    </w:div>
    <w:div w:id="2116054406">
      <w:bodyDiv w:val="1"/>
      <w:marLeft w:val="0"/>
      <w:marRight w:val="0"/>
      <w:marTop w:val="0"/>
      <w:marBottom w:val="0"/>
      <w:divBdr>
        <w:top w:val="none" w:sz="0" w:space="0" w:color="auto"/>
        <w:left w:val="none" w:sz="0" w:space="0" w:color="auto"/>
        <w:bottom w:val="none" w:sz="0" w:space="0" w:color="auto"/>
        <w:right w:val="none" w:sz="0" w:space="0" w:color="auto"/>
      </w:divBdr>
    </w:div>
    <w:div w:id="211709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7.xml"/><Relationship Id="rId34" Type="http://schemas.openxmlformats.org/officeDocument/2006/relationships/chart" Target="charts/chart15.xml"/><Relationship Id="rId42" Type="http://schemas.openxmlformats.org/officeDocument/2006/relationships/image" Target="media/image9.png"/><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52.xml"/><Relationship Id="rId84" Type="http://schemas.openxmlformats.org/officeDocument/2006/relationships/chart" Target="charts/chart60.xml"/><Relationship Id="rId89" Type="http://schemas.openxmlformats.org/officeDocument/2006/relationships/chart" Target="charts/chart65.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http://www.r35.eu/mapy/07-R35-usek-Ostrov-Janov-100131" TargetMode="Externa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cs.wikipedia.org/wiki/Rostliny" TargetMode="Externa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chart" Target="charts/chart55.xml"/><Relationship Id="rId87" Type="http://schemas.openxmlformats.org/officeDocument/2006/relationships/chart" Target="charts/chart63.xml"/><Relationship Id="rId5" Type="http://schemas.openxmlformats.org/officeDocument/2006/relationships/webSettings" Target="webSettings.xml"/><Relationship Id="rId61" Type="http://schemas.openxmlformats.org/officeDocument/2006/relationships/chart" Target="charts/chart37.xml"/><Relationship Id="rId82" Type="http://schemas.openxmlformats.org/officeDocument/2006/relationships/chart" Target="charts/chart58.xml"/><Relationship Id="rId90" Type="http://schemas.openxmlformats.org/officeDocument/2006/relationships/chart" Target="charts/chart66.xml"/><Relationship Id="rId95" Type="http://schemas.openxmlformats.org/officeDocument/2006/relationships/hyperlink" Target="http://www.mas-lit.cz" TargetMode="External"/><Relationship Id="rId19" Type="http://schemas.openxmlformats.org/officeDocument/2006/relationships/chart" Target="charts/chart6.xml"/><Relationship Id="rId14" Type="http://schemas.openxmlformats.org/officeDocument/2006/relationships/hyperlink" Target="http://www.litomyslsko.cz/" TargetMode="External"/><Relationship Id="rId22" Type="http://schemas.openxmlformats.org/officeDocument/2006/relationships/chart" Target="charts/chart8.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http://www.strukturalni-fondy.cz/cs/Microsites/IROP/Dokumenty/prilohy-PD_15-7-2014.zip" TargetMode="Externa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93" Type="http://schemas.openxmlformats.org/officeDocument/2006/relationships/image" Target="media/image13.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3.xml"/><Relationship Id="rId20" Type="http://schemas.openxmlformats.org/officeDocument/2006/relationships/hyperlink" Target="http://www.idos.cz" TargetMode="External"/><Relationship Id="rId41" Type="http://schemas.openxmlformats.org/officeDocument/2006/relationships/chart" Target="charts/chart22.xml"/><Relationship Id="rId54" Type="http://schemas.openxmlformats.org/officeDocument/2006/relationships/chart" Target="charts/chart31.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chart" Target="charts/chart64.xml"/><Relationship Id="rId91" Type="http://schemas.openxmlformats.org/officeDocument/2006/relationships/chart" Target="charts/chart67.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gif"/><Relationship Id="rId28" Type="http://schemas.openxmlformats.org/officeDocument/2006/relationships/chart" Target="charts/chart10.xml"/><Relationship Id="rId36" Type="http://schemas.openxmlformats.org/officeDocument/2006/relationships/chart" Target="charts/chart17.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image" Target="media/image10.png"/><Relationship Id="rId52" Type="http://schemas.openxmlformats.org/officeDocument/2006/relationships/chart" Target="charts/chart29.xml"/><Relationship Id="rId60" Type="http://schemas.openxmlformats.org/officeDocument/2006/relationships/image" Target="media/image11.emf"/><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hyperlink" Target="http://www.mas-lit.cz"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s-lit.cz" TargetMode="External"/><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chart" Target="charts/chart20.xml"/></Relationships>
</file>

<file path=word/_rels/footnotes.xml.rels><?xml version="1.0" encoding="UTF-8" standalone="yes"?>
<Relationships xmlns="http://schemas.openxmlformats.org/package/2006/relationships"><Relationship Id="rId3" Type="http://schemas.openxmlformats.org/officeDocument/2006/relationships/hyperlink" Target="http://www.rukaprozivot.cz/Litomysl/" TargetMode="External"/><Relationship Id="rId7" Type="http://schemas.openxmlformats.org/officeDocument/2006/relationships/hyperlink" Target="http://vdb.czso.cz/vdbvo/tabparam.jsp?voa=tabulka&amp;cislotab=DEM0030PU_KR&amp;vo=tabulka&amp;kapitola_id=19" TargetMode="External"/><Relationship Id="rId2" Type="http://schemas.openxmlformats.org/officeDocument/2006/relationships/hyperlink" Target="http://www.esfcr.cz/mapa/int_pa9_6.html" TargetMode="External"/><Relationship Id="rId1" Type="http://schemas.openxmlformats.org/officeDocument/2006/relationships/hyperlink" Target="http://www.opd.cz/cz/OP_doprava_2014-2020" TargetMode="External"/><Relationship Id="rId6" Type="http://schemas.openxmlformats.org/officeDocument/2006/relationships/hyperlink" Target="http://www.policie.cz/clanek/policie-cr-web-informacni-servis-statistiky-statisticke-prehledy.aspx" TargetMode="External"/><Relationship Id="rId5" Type="http://schemas.openxmlformats.org/officeDocument/2006/relationships/hyperlink" Target="http://vdb.czso.cz/vdbvo/tabparam.jsp?voa=tabulka&amp;cislotab=DEM0030PU_KR&amp;vo=tabulka&amp;kapitola_id=19" TargetMode="External"/><Relationship Id="rId4" Type="http://schemas.openxmlformats.org/officeDocument/2006/relationships/hyperlink" Target="http://www.policie.cz/clanek/policie-cr-web-informacni-servis-statistiky-statisticke-prehled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cuments\MAS\ISR&#218;_SCLLD\Tabulky%20pro%20strategii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Documents\MAS\ISR&#218;_SCLLD\Tabulky%20pro%20strategii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ias\Downloads\narozen&#237;%20odst&#283;hovan&#237;.od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ias\Desktop\mas\narozen&#237;%20odst&#283;hovan&#237;.od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elias\Desktop\mas\v&#253;&#328;atky%20z%20da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ias\Downloads\narozen&#237;%20odst&#283;hovan&#237;%20(2).od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_1.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lenovo\Documents\dotazn&#237;ky%20firmy%20odd&#283;leno%20NNO.od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lenovo\Documents\dotazn&#237;ky%20firmy%20odd&#283;leno%20NNO.od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lenovo\Documents\dotazn&#237;ky%20firmy%20odd&#283;leno%20NNO.od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lenovo\Documents\dotazn&#237;ky%20firmy%20odd&#283;leno%20NNO.od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firmy%20odd&#283;leno%20NNO.od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MAS\ISR&#218;_SCLLD\Dotazn&#237;ky\dotazn&#237;k%20ob&#269;an_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ocuments\MAS\ISR&#218;_SCLLD\Dotazn&#237;ky\dotazn&#237;ky%20obc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List5!$A$2</c:f>
              <c:strCache>
                <c:ptCount val="1"/>
                <c:pt idx="0">
                  <c:v>Počet obyvatel</c:v>
                </c:pt>
              </c:strCache>
            </c:strRef>
          </c:tx>
          <c:cat>
            <c:strRef>
              <c:f>List5!$B$1:$BC$1</c:f>
              <c:strCache>
                <c:ptCount val="54"/>
                <c:pt idx="0">
                  <c:v>Nová Ves u Jarošova</c:v>
                </c:pt>
                <c:pt idx="1">
                  <c:v>Pustina</c:v>
                </c:pt>
                <c:pt idx="2">
                  <c:v>Řídký</c:v>
                </c:pt>
                <c:pt idx="3">
                  <c:v>Suchá Lhota</c:v>
                </c:pt>
                <c:pt idx="4">
                  <c:v>Zádolí</c:v>
                </c:pt>
                <c:pt idx="5">
                  <c:v>Újezdec</c:v>
                </c:pt>
                <c:pt idx="6">
                  <c:v>Vlčkov</c:v>
                </c:pt>
                <c:pt idx="7">
                  <c:v>Bohuňovice</c:v>
                </c:pt>
                <c:pt idx="8">
                  <c:v>Horky</c:v>
                </c:pt>
                <c:pt idx="9">
                  <c:v>Chotěnov</c:v>
                </c:pt>
                <c:pt idx="10">
                  <c:v>Chotovice</c:v>
                </c:pt>
                <c:pt idx="11">
                  <c:v>Bor u Skutče</c:v>
                </c:pt>
                <c:pt idx="12">
                  <c:v>Tržek</c:v>
                </c:pt>
                <c:pt idx="13">
                  <c:v>Příluka</c:v>
                </c:pt>
                <c:pt idx="14">
                  <c:v>Libecina</c:v>
                </c:pt>
                <c:pt idx="15">
                  <c:v>Jarošov</c:v>
                </c:pt>
                <c:pt idx="16">
                  <c:v>Chmelík</c:v>
                </c:pt>
                <c:pt idx="17">
                  <c:v>Vračovice-Orlov</c:v>
                </c:pt>
                <c:pt idx="18">
                  <c:v>Hluboká</c:v>
                </c:pt>
                <c:pt idx="19">
                  <c:v>Nová Sídla</c:v>
                </c:pt>
                <c:pt idx="20">
                  <c:v>Strakov</c:v>
                </c:pt>
                <c:pt idx="21">
                  <c:v>Bučina</c:v>
                </c:pt>
                <c:pt idx="22">
                  <c:v>Zálší</c:v>
                </c:pt>
                <c:pt idx="23">
                  <c:v>Perálec</c:v>
                </c:pt>
                <c:pt idx="24">
                  <c:v>Sedliště</c:v>
                </c:pt>
                <c:pt idx="25">
                  <c:v>Javorník</c:v>
                </c:pt>
                <c:pt idx="26">
                  <c:v>Vidlatá Seč</c:v>
                </c:pt>
                <c:pt idx="27">
                  <c:v>Zderaz</c:v>
                </c:pt>
                <c:pt idx="28">
                  <c:v>Otradov</c:v>
                </c:pt>
                <c:pt idx="29">
                  <c:v>Leština</c:v>
                </c:pt>
                <c:pt idx="30">
                  <c:v>Nové Hrady</c:v>
                </c:pt>
                <c:pt idx="31">
                  <c:v>Makov</c:v>
                </c:pt>
                <c:pt idx="32">
                  <c:v>Hrušová</c:v>
                </c:pt>
                <c:pt idx="33">
                  <c:v>Desná</c:v>
                </c:pt>
                <c:pt idx="34">
                  <c:v>Benátky</c:v>
                </c:pt>
                <c:pt idx="35">
                  <c:v>Horní Újezd</c:v>
                </c:pt>
                <c:pt idx="36">
                  <c:v>Budislav</c:v>
                </c:pt>
                <c:pt idx="37">
                  <c:v>Poříčí u Litomyšle</c:v>
                </c:pt>
                <c:pt idx="38">
                  <c:v>Trstěnice</c:v>
                </c:pt>
                <c:pt idx="39">
                  <c:v>České Heřmanice</c:v>
                </c:pt>
                <c:pt idx="40">
                  <c:v>Tisová</c:v>
                </c:pt>
                <c:pt idx="41">
                  <c:v>Morašice</c:v>
                </c:pt>
                <c:pt idx="42">
                  <c:v>Cerekvice nad Loučnou</c:v>
                </c:pt>
                <c:pt idx="43">
                  <c:v>Němčice</c:v>
                </c:pt>
                <c:pt idx="44">
                  <c:v>Čistá</c:v>
                </c:pt>
                <c:pt idx="45">
                  <c:v>Sebranice</c:v>
                </c:pt>
                <c:pt idx="46">
                  <c:v>Janov</c:v>
                </c:pt>
                <c:pt idx="47">
                  <c:v>Lubná</c:v>
                </c:pt>
                <c:pt idx="48">
                  <c:v>Osík</c:v>
                </c:pt>
                <c:pt idx="49">
                  <c:v>Sloupnice</c:v>
                </c:pt>
                <c:pt idx="50">
                  <c:v>Dolní Újezd</c:v>
                </c:pt>
                <c:pt idx="51">
                  <c:v>Proseč</c:v>
                </c:pt>
                <c:pt idx="52">
                  <c:v>Litomyšl</c:v>
                </c:pt>
                <c:pt idx="53">
                  <c:v>Vysoké Mýto</c:v>
                </c:pt>
              </c:strCache>
            </c:strRef>
          </c:cat>
          <c:val>
            <c:numRef>
              <c:f>List5!$B$2:$BC$2</c:f>
              <c:numCache>
                <c:formatCode>General</c:formatCode>
                <c:ptCount val="54"/>
                <c:pt idx="0">
                  <c:v>67</c:v>
                </c:pt>
                <c:pt idx="1">
                  <c:v>67</c:v>
                </c:pt>
                <c:pt idx="2">
                  <c:v>71</c:v>
                </c:pt>
                <c:pt idx="3">
                  <c:v>89</c:v>
                </c:pt>
                <c:pt idx="4">
                  <c:v>89</c:v>
                </c:pt>
                <c:pt idx="5">
                  <c:v>90</c:v>
                </c:pt>
                <c:pt idx="6">
                  <c:v>100</c:v>
                </c:pt>
                <c:pt idx="7">
                  <c:v>112</c:v>
                </c:pt>
                <c:pt idx="8">
                  <c:v>120</c:v>
                </c:pt>
                <c:pt idx="9">
                  <c:v>127</c:v>
                </c:pt>
                <c:pt idx="10">
                  <c:v>129</c:v>
                </c:pt>
                <c:pt idx="11">
                  <c:v>146</c:v>
                </c:pt>
                <c:pt idx="12">
                  <c:v>155</c:v>
                </c:pt>
                <c:pt idx="13">
                  <c:v>172</c:v>
                </c:pt>
                <c:pt idx="14">
                  <c:v>174</c:v>
                </c:pt>
                <c:pt idx="15">
                  <c:v>180</c:v>
                </c:pt>
                <c:pt idx="16">
                  <c:v>181</c:v>
                </c:pt>
                <c:pt idx="17">
                  <c:v>185</c:v>
                </c:pt>
                <c:pt idx="18">
                  <c:v>196</c:v>
                </c:pt>
                <c:pt idx="19">
                  <c:v>218</c:v>
                </c:pt>
                <c:pt idx="20">
                  <c:v>224</c:v>
                </c:pt>
                <c:pt idx="21">
                  <c:v>228</c:v>
                </c:pt>
                <c:pt idx="22">
                  <c:v>229</c:v>
                </c:pt>
                <c:pt idx="23">
                  <c:v>242</c:v>
                </c:pt>
                <c:pt idx="24">
                  <c:v>251</c:v>
                </c:pt>
                <c:pt idx="25">
                  <c:v>261</c:v>
                </c:pt>
                <c:pt idx="26">
                  <c:v>276</c:v>
                </c:pt>
                <c:pt idx="27">
                  <c:v>277</c:v>
                </c:pt>
                <c:pt idx="28">
                  <c:v>285</c:v>
                </c:pt>
                <c:pt idx="29">
                  <c:v>300</c:v>
                </c:pt>
                <c:pt idx="30">
                  <c:v>313</c:v>
                </c:pt>
                <c:pt idx="31">
                  <c:v>327</c:v>
                </c:pt>
                <c:pt idx="32">
                  <c:v>332</c:v>
                </c:pt>
                <c:pt idx="33">
                  <c:v>333</c:v>
                </c:pt>
                <c:pt idx="34">
                  <c:v>369</c:v>
                </c:pt>
                <c:pt idx="35">
                  <c:v>424</c:v>
                </c:pt>
                <c:pt idx="36">
                  <c:v>432</c:v>
                </c:pt>
                <c:pt idx="37">
                  <c:v>450</c:v>
                </c:pt>
                <c:pt idx="38">
                  <c:v>508</c:v>
                </c:pt>
                <c:pt idx="39">
                  <c:v>550</c:v>
                </c:pt>
                <c:pt idx="40">
                  <c:v>571</c:v>
                </c:pt>
                <c:pt idx="41">
                  <c:v>721</c:v>
                </c:pt>
                <c:pt idx="42">
                  <c:v>841</c:v>
                </c:pt>
                <c:pt idx="43">
                  <c:v>961</c:v>
                </c:pt>
                <c:pt idx="44">
                  <c:v>967</c:v>
                </c:pt>
                <c:pt idx="45">
                  <c:v>984</c:v>
                </c:pt>
                <c:pt idx="46">
                  <c:v>997</c:v>
                </c:pt>
                <c:pt idx="47">
                  <c:v>998</c:v>
                </c:pt>
                <c:pt idx="48">
                  <c:v>1038</c:v>
                </c:pt>
                <c:pt idx="49">
                  <c:v>1697</c:v>
                </c:pt>
                <c:pt idx="50">
                  <c:v>1983</c:v>
                </c:pt>
                <c:pt idx="51">
                  <c:v>2138</c:v>
                </c:pt>
                <c:pt idx="52">
                  <c:v>10137</c:v>
                </c:pt>
                <c:pt idx="53">
                  <c:v>12436</c:v>
                </c:pt>
              </c:numCache>
            </c:numRef>
          </c:val>
        </c:ser>
        <c:axId val="164603008"/>
        <c:axId val="164604544"/>
      </c:barChart>
      <c:lineChart>
        <c:grouping val="standard"/>
        <c:ser>
          <c:idx val="1"/>
          <c:order val="1"/>
          <c:tx>
            <c:strRef>
              <c:f>List5!$A$3</c:f>
              <c:strCache>
                <c:ptCount val="1"/>
                <c:pt idx="0">
                  <c:v>Kumulativní počet obyvatel</c:v>
                </c:pt>
              </c:strCache>
            </c:strRef>
          </c:tx>
          <c:marker>
            <c:symbol val="none"/>
          </c:marker>
          <c:cat>
            <c:strRef>
              <c:f>List5!$B$1:$BC$1</c:f>
              <c:strCache>
                <c:ptCount val="54"/>
                <c:pt idx="0">
                  <c:v>Nová Ves u Jarošova</c:v>
                </c:pt>
                <c:pt idx="1">
                  <c:v>Pustina</c:v>
                </c:pt>
                <c:pt idx="2">
                  <c:v>Řídký</c:v>
                </c:pt>
                <c:pt idx="3">
                  <c:v>Suchá Lhota</c:v>
                </c:pt>
                <c:pt idx="4">
                  <c:v>Zádolí</c:v>
                </c:pt>
                <c:pt idx="5">
                  <c:v>Újezdec</c:v>
                </c:pt>
                <c:pt idx="6">
                  <c:v>Vlčkov</c:v>
                </c:pt>
                <c:pt idx="7">
                  <c:v>Bohuňovice</c:v>
                </c:pt>
                <c:pt idx="8">
                  <c:v>Horky</c:v>
                </c:pt>
                <c:pt idx="9">
                  <c:v>Chotěnov</c:v>
                </c:pt>
                <c:pt idx="10">
                  <c:v>Chotovice</c:v>
                </c:pt>
                <c:pt idx="11">
                  <c:v>Bor u Skutče</c:v>
                </c:pt>
                <c:pt idx="12">
                  <c:v>Tržek</c:v>
                </c:pt>
                <c:pt idx="13">
                  <c:v>Příluka</c:v>
                </c:pt>
                <c:pt idx="14">
                  <c:v>Libecina</c:v>
                </c:pt>
                <c:pt idx="15">
                  <c:v>Jarošov</c:v>
                </c:pt>
                <c:pt idx="16">
                  <c:v>Chmelík</c:v>
                </c:pt>
                <c:pt idx="17">
                  <c:v>Vračovice-Orlov</c:v>
                </c:pt>
                <c:pt idx="18">
                  <c:v>Hluboká</c:v>
                </c:pt>
                <c:pt idx="19">
                  <c:v>Nová Sídla</c:v>
                </c:pt>
                <c:pt idx="20">
                  <c:v>Strakov</c:v>
                </c:pt>
                <c:pt idx="21">
                  <c:v>Bučina</c:v>
                </c:pt>
                <c:pt idx="22">
                  <c:v>Zálší</c:v>
                </c:pt>
                <c:pt idx="23">
                  <c:v>Perálec</c:v>
                </c:pt>
                <c:pt idx="24">
                  <c:v>Sedliště</c:v>
                </c:pt>
                <c:pt idx="25">
                  <c:v>Javorník</c:v>
                </c:pt>
                <c:pt idx="26">
                  <c:v>Vidlatá Seč</c:v>
                </c:pt>
                <c:pt idx="27">
                  <c:v>Zderaz</c:v>
                </c:pt>
                <c:pt idx="28">
                  <c:v>Otradov</c:v>
                </c:pt>
                <c:pt idx="29">
                  <c:v>Leština</c:v>
                </c:pt>
                <c:pt idx="30">
                  <c:v>Nové Hrady</c:v>
                </c:pt>
                <c:pt idx="31">
                  <c:v>Makov</c:v>
                </c:pt>
                <c:pt idx="32">
                  <c:v>Hrušová</c:v>
                </c:pt>
                <c:pt idx="33">
                  <c:v>Desná</c:v>
                </c:pt>
                <c:pt idx="34">
                  <c:v>Benátky</c:v>
                </c:pt>
                <c:pt idx="35">
                  <c:v>Horní Újezd</c:v>
                </c:pt>
                <c:pt idx="36">
                  <c:v>Budislav</c:v>
                </c:pt>
                <c:pt idx="37">
                  <c:v>Poříčí u Litomyšle</c:v>
                </c:pt>
                <c:pt idx="38">
                  <c:v>Trstěnice</c:v>
                </c:pt>
                <c:pt idx="39">
                  <c:v>České Heřmanice</c:v>
                </c:pt>
                <c:pt idx="40">
                  <c:v>Tisová</c:v>
                </c:pt>
                <c:pt idx="41">
                  <c:v>Morašice</c:v>
                </c:pt>
                <c:pt idx="42">
                  <c:v>Cerekvice nad Loučnou</c:v>
                </c:pt>
                <c:pt idx="43">
                  <c:v>Němčice</c:v>
                </c:pt>
                <c:pt idx="44">
                  <c:v>Čistá</c:v>
                </c:pt>
                <c:pt idx="45">
                  <c:v>Sebranice</c:v>
                </c:pt>
                <c:pt idx="46">
                  <c:v>Janov</c:v>
                </c:pt>
                <c:pt idx="47">
                  <c:v>Lubná</c:v>
                </c:pt>
                <c:pt idx="48">
                  <c:v>Osík</c:v>
                </c:pt>
                <c:pt idx="49">
                  <c:v>Sloupnice</c:v>
                </c:pt>
                <c:pt idx="50">
                  <c:v>Dolní Újezd</c:v>
                </c:pt>
                <c:pt idx="51">
                  <c:v>Proseč</c:v>
                </c:pt>
                <c:pt idx="52">
                  <c:v>Litomyšl</c:v>
                </c:pt>
                <c:pt idx="53">
                  <c:v>Vysoké Mýto</c:v>
                </c:pt>
              </c:strCache>
            </c:strRef>
          </c:cat>
          <c:val>
            <c:numRef>
              <c:f>List5!$B$3:$BC$3</c:f>
              <c:numCache>
                <c:formatCode>General</c:formatCode>
                <c:ptCount val="54"/>
                <c:pt idx="0">
                  <c:v>67</c:v>
                </c:pt>
                <c:pt idx="1">
                  <c:v>134</c:v>
                </c:pt>
                <c:pt idx="2">
                  <c:v>205</c:v>
                </c:pt>
                <c:pt idx="3">
                  <c:v>294</c:v>
                </c:pt>
                <c:pt idx="4">
                  <c:v>383</c:v>
                </c:pt>
                <c:pt idx="5">
                  <c:v>473</c:v>
                </c:pt>
                <c:pt idx="6">
                  <c:v>573</c:v>
                </c:pt>
                <c:pt idx="7">
                  <c:v>685</c:v>
                </c:pt>
                <c:pt idx="8">
                  <c:v>805</c:v>
                </c:pt>
                <c:pt idx="9">
                  <c:v>932</c:v>
                </c:pt>
                <c:pt idx="10">
                  <c:v>1061</c:v>
                </c:pt>
                <c:pt idx="11">
                  <c:v>1207</c:v>
                </c:pt>
                <c:pt idx="12">
                  <c:v>1362</c:v>
                </c:pt>
                <c:pt idx="13">
                  <c:v>1534</c:v>
                </c:pt>
                <c:pt idx="14">
                  <c:v>1708</c:v>
                </c:pt>
                <c:pt idx="15">
                  <c:v>1888</c:v>
                </c:pt>
                <c:pt idx="16">
                  <c:v>2069</c:v>
                </c:pt>
                <c:pt idx="17">
                  <c:v>2254</c:v>
                </c:pt>
                <c:pt idx="18">
                  <c:v>2450</c:v>
                </c:pt>
                <c:pt idx="19">
                  <c:v>2668</c:v>
                </c:pt>
                <c:pt idx="20">
                  <c:v>2892</c:v>
                </c:pt>
                <c:pt idx="21">
                  <c:v>3120</c:v>
                </c:pt>
                <c:pt idx="22">
                  <c:v>3349</c:v>
                </c:pt>
                <c:pt idx="23">
                  <c:v>3591</c:v>
                </c:pt>
                <c:pt idx="24">
                  <c:v>3842</c:v>
                </c:pt>
                <c:pt idx="25">
                  <c:v>4103</c:v>
                </c:pt>
                <c:pt idx="26">
                  <c:v>4379</c:v>
                </c:pt>
                <c:pt idx="27">
                  <c:v>4656</c:v>
                </c:pt>
                <c:pt idx="28">
                  <c:v>4941</c:v>
                </c:pt>
                <c:pt idx="29">
                  <c:v>5241</c:v>
                </c:pt>
                <c:pt idx="30">
                  <c:v>5554</c:v>
                </c:pt>
                <c:pt idx="31">
                  <c:v>5881</c:v>
                </c:pt>
                <c:pt idx="32">
                  <c:v>6213</c:v>
                </c:pt>
                <c:pt idx="33">
                  <c:v>6546</c:v>
                </c:pt>
                <c:pt idx="34">
                  <c:v>6915</c:v>
                </c:pt>
                <c:pt idx="35">
                  <c:v>7339</c:v>
                </c:pt>
                <c:pt idx="36">
                  <c:v>7771</c:v>
                </c:pt>
                <c:pt idx="37">
                  <c:v>8221</c:v>
                </c:pt>
                <c:pt idx="38">
                  <c:v>8729</c:v>
                </c:pt>
                <c:pt idx="39">
                  <c:v>9279</c:v>
                </c:pt>
                <c:pt idx="40">
                  <c:v>9850</c:v>
                </c:pt>
                <c:pt idx="41">
                  <c:v>10571</c:v>
                </c:pt>
                <c:pt idx="42">
                  <c:v>11412</c:v>
                </c:pt>
                <c:pt idx="43">
                  <c:v>12373</c:v>
                </c:pt>
                <c:pt idx="44">
                  <c:v>13340</c:v>
                </c:pt>
                <c:pt idx="45">
                  <c:v>14324</c:v>
                </c:pt>
                <c:pt idx="46">
                  <c:v>15321</c:v>
                </c:pt>
                <c:pt idx="47">
                  <c:v>16319</c:v>
                </c:pt>
                <c:pt idx="48">
                  <c:v>17357</c:v>
                </c:pt>
                <c:pt idx="49">
                  <c:v>19054</c:v>
                </c:pt>
                <c:pt idx="50">
                  <c:v>21037</c:v>
                </c:pt>
                <c:pt idx="51">
                  <c:v>23175</c:v>
                </c:pt>
                <c:pt idx="52">
                  <c:v>33312</c:v>
                </c:pt>
                <c:pt idx="53">
                  <c:v>45748</c:v>
                </c:pt>
              </c:numCache>
            </c:numRef>
          </c:val>
        </c:ser>
        <c:marker val="1"/>
        <c:axId val="164603008"/>
        <c:axId val="164604544"/>
      </c:lineChart>
      <c:catAx>
        <c:axId val="164603008"/>
        <c:scaling>
          <c:orientation val="minMax"/>
        </c:scaling>
        <c:axPos val="b"/>
        <c:tickLblPos val="nextTo"/>
        <c:crossAx val="164604544"/>
        <c:crosses val="autoZero"/>
        <c:auto val="1"/>
        <c:lblAlgn val="ctr"/>
        <c:lblOffset val="100"/>
      </c:catAx>
      <c:valAx>
        <c:axId val="164604544"/>
        <c:scaling>
          <c:orientation val="minMax"/>
          <c:max val="50000"/>
        </c:scaling>
        <c:axPos val="l"/>
        <c:majorGridlines/>
        <c:numFmt formatCode="General" sourceLinked="1"/>
        <c:tickLblPos val="nextTo"/>
        <c:crossAx val="164603008"/>
        <c:crosses val="autoZero"/>
        <c:crossBetween val="between"/>
      </c:valAx>
    </c:plotArea>
    <c:legend>
      <c:legendPos val="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Shledáváte stav místních komunikací jako vyhovující?</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'13'!$A$2:$F$2</c:f>
              <c:strCache>
                <c:ptCount val="6"/>
                <c:pt idx="0">
                  <c:v>ano</c:v>
                </c:pt>
                <c:pt idx="1">
                  <c:v>spíše ano</c:v>
                </c:pt>
                <c:pt idx="2">
                  <c:v>spíše ne</c:v>
                </c:pt>
                <c:pt idx="3">
                  <c:v>ne</c:v>
                </c:pt>
                <c:pt idx="4">
                  <c:v>bez odpovědi</c:v>
                </c:pt>
                <c:pt idx="5">
                  <c:v>nevím</c:v>
                </c:pt>
              </c:strCache>
            </c:strRef>
          </c:cat>
          <c:val>
            <c:numRef>
              <c:f>'13'!$A$3:$F$3</c:f>
              <c:numCache>
                <c:formatCode>General</c:formatCode>
                <c:ptCount val="6"/>
                <c:pt idx="0">
                  <c:v>18</c:v>
                </c:pt>
                <c:pt idx="1">
                  <c:v>28</c:v>
                </c:pt>
                <c:pt idx="2">
                  <c:v>26</c:v>
                </c:pt>
                <c:pt idx="3">
                  <c:v>31</c:v>
                </c:pt>
                <c:pt idx="4">
                  <c:v>6</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dostatečná nabídka služeb drobných podnikatelů ve Vaší obci a jejím okolí?</a:t>
            </a:r>
          </a:p>
        </c:rich>
      </c:tx>
      <c:layout>
        <c:manualLayout>
          <c:xMode val="edge"/>
          <c:yMode val="edge"/>
          <c:x val="0.13156488525971452"/>
          <c:y val="2.7491537468909109E-2"/>
        </c:manualLayout>
      </c:layout>
      <c:spPr>
        <a:noFill/>
        <a:ln w="25400">
          <a:noFill/>
        </a:ln>
      </c:spPr>
    </c:title>
    <c:view3D>
      <c:rotX val="30"/>
      <c:perspective val="0"/>
    </c:view3D>
    <c:plotArea>
      <c:layout>
        <c:manualLayout>
          <c:layoutTarget val="inner"/>
          <c:xMode val="edge"/>
          <c:yMode val="edge"/>
          <c:x val="8.6627521560271981E-2"/>
          <c:y val="0.34701867337194958"/>
          <c:w val="0.56582116437846963"/>
          <c:h val="0.58346731209741276"/>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'4.13'!$A$2:$F$2</c:f>
              <c:strCache>
                <c:ptCount val="6"/>
                <c:pt idx="0">
                  <c:v>ano</c:v>
                </c:pt>
                <c:pt idx="1">
                  <c:v>spíše ano</c:v>
                </c:pt>
                <c:pt idx="2">
                  <c:v>spíše ne</c:v>
                </c:pt>
                <c:pt idx="3">
                  <c:v>ne</c:v>
                </c:pt>
                <c:pt idx="4">
                  <c:v>nevím</c:v>
                </c:pt>
                <c:pt idx="5">
                  <c:v>bez odpovědi</c:v>
                </c:pt>
              </c:strCache>
            </c:strRef>
          </c:cat>
          <c:val>
            <c:numRef>
              <c:f>'4.13'!$A$3:$F$3</c:f>
              <c:numCache>
                <c:formatCode>General</c:formatCode>
                <c:ptCount val="6"/>
                <c:pt idx="0">
                  <c:v>3</c:v>
                </c:pt>
                <c:pt idx="1">
                  <c:v>11</c:v>
                </c:pt>
                <c:pt idx="2">
                  <c:v>7</c:v>
                </c:pt>
                <c:pt idx="3">
                  <c:v>3</c:v>
                </c:pt>
              </c:numCache>
            </c:numRef>
          </c:val>
        </c:ser>
      </c:pie3DChart>
      <c:spPr>
        <a:noFill/>
        <a:ln w="25400">
          <a:noFill/>
        </a:ln>
      </c:spPr>
    </c:plotArea>
    <c:legend>
      <c:legendPos val="r"/>
      <c:layout>
        <c:manualLayout>
          <c:xMode val="edge"/>
          <c:yMode val="edge"/>
          <c:x val="0.69548938832976959"/>
          <c:y val="0.24078092978103771"/>
          <c:w val="0.29946220298621884"/>
          <c:h val="0.7566432963003019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dostatečná nabídka služeb drobných podnikatelů ve Vaší obci a jejím okolí?</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'15'!$A$2:$F$2</c:f>
              <c:strCache>
                <c:ptCount val="6"/>
                <c:pt idx="0">
                  <c:v>ano</c:v>
                </c:pt>
                <c:pt idx="1">
                  <c:v>spíše ano</c:v>
                </c:pt>
                <c:pt idx="2">
                  <c:v>spíše ne</c:v>
                </c:pt>
                <c:pt idx="3">
                  <c:v>ne</c:v>
                </c:pt>
                <c:pt idx="4">
                  <c:v>bez odpovědi</c:v>
                </c:pt>
                <c:pt idx="5">
                  <c:v>nevím</c:v>
                </c:pt>
              </c:strCache>
            </c:strRef>
          </c:cat>
          <c:val>
            <c:numRef>
              <c:f>'15'!$A$3:$F$3</c:f>
              <c:numCache>
                <c:formatCode>General</c:formatCode>
                <c:ptCount val="6"/>
                <c:pt idx="0">
                  <c:v>32</c:v>
                </c:pt>
                <c:pt idx="1">
                  <c:v>42</c:v>
                </c:pt>
                <c:pt idx="2">
                  <c:v>19</c:v>
                </c:pt>
                <c:pt idx="3">
                  <c:v>8</c:v>
                </c:pt>
                <c:pt idx="4">
                  <c:v>8</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podle Vás dostatečná nabídka služeb pro děti a rodiny s dětmi?</a:t>
            </a:r>
          </a:p>
        </c:rich>
      </c:tx>
      <c:layout>
        <c:manualLayout>
          <c:xMode val="edge"/>
          <c:yMode val="edge"/>
          <c:x val="0.15565112796548727"/>
          <c:y val="2.7491362635314771E-2"/>
        </c:manualLayout>
      </c:layout>
      <c:spPr>
        <a:noFill/>
        <a:ln w="25400">
          <a:noFill/>
        </a:ln>
      </c:spPr>
    </c:title>
    <c:view3D>
      <c:rotX val="30"/>
      <c:perspective val="0"/>
    </c:view3D>
    <c:plotArea>
      <c:layout>
        <c:manualLayout>
          <c:layoutTarget val="inner"/>
          <c:xMode val="edge"/>
          <c:yMode val="edge"/>
          <c:x val="7.5808190020255711E-2"/>
          <c:y val="0.34570979328587614"/>
          <c:w val="0.5456640831369215"/>
          <c:h val="0.55913353977557423"/>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'4.9'!$A$2:$F$2</c:f>
              <c:strCache>
                <c:ptCount val="6"/>
                <c:pt idx="0">
                  <c:v>ano</c:v>
                </c:pt>
                <c:pt idx="1">
                  <c:v>spíše ano</c:v>
                </c:pt>
                <c:pt idx="2">
                  <c:v>spíše ne</c:v>
                </c:pt>
                <c:pt idx="3">
                  <c:v>ne</c:v>
                </c:pt>
                <c:pt idx="4">
                  <c:v>nevím</c:v>
                </c:pt>
                <c:pt idx="5">
                  <c:v>bez odpovědi</c:v>
                </c:pt>
              </c:strCache>
            </c:strRef>
          </c:cat>
          <c:val>
            <c:numRef>
              <c:f>'4.9'!$A$3:$F$3</c:f>
              <c:numCache>
                <c:formatCode>General</c:formatCode>
                <c:ptCount val="6"/>
                <c:pt idx="0">
                  <c:v>1</c:v>
                </c:pt>
                <c:pt idx="1">
                  <c:v>14</c:v>
                </c:pt>
                <c:pt idx="2">
                  <c:v>7</c:v>
                </c:pt>
                <c:pt idx="3">
                  <c:v>1</c:v>
                </c:pt>
                <c:pt idx="4">
                  <c:v>1</c:v>
                </c:pt>
              </c:numCache>
            </c:numRef>
          </c:val>
        </c:ser>
      </c:pie3DChart>
      <c:spPr>
        <a:noFill/>
        <a:ln w="25400">
          <a:noFill/>
        </a:ln>
      </c:spPr>
    </c:plotArea>
    <c:legend>
      <c:legendPos val="r"/>
      <c:layout>
        <c:manualLayout>
          <c:xMode val="edge"/>
          <c:yMode val="edge"/>
          <c:x val="0.69560306617302581"/>
          <c:y val="0.23773663930306591"/>
          <c:w val="0.28621716987363338"/>
          <c:h val="0.76226336069693357"/>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 </a:t>
            </a:r>
            <a:r>
              <a:rPr lang="cs-CZ" sz="1100"/>
              <a:t>Je podle Vás dostatečná nabídka služeb pro děti a rodiny s dětmi?</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'8'!$A$2:$F$2</c:f>
              <c:strCache>
                <c:ptCount val="6"/>
                <c:pt idx="0">
                  <c:v>ano</c:v>
                </c:pt>
                <c:pt idx="1">
                  <c:v>spíše ano</c:v>
                </c:pt>
                <c:pt idx="2">
                  <c:v>spíše ne</c:v>
                </c:pt>
                <c:pt idx="3">
                  <c:v>ne</c:v>
                </c:pt>
                <c:pt idx="4">
                  <c:v>bez odpovědi</c:v>
                </c:pt>
                <c:pt idx="5">
                  <c:v>nevím</c:v>
                </c:pt>
              </c:strCache>
            </c:strRef>
          </c:cat>
          <c:val>
            <c:numRef>
              <c:f>'8'!$A$3:$F$3</c:f>
              <c:numCache>
                <c:formatCode>General</c:formatCode>
                <c:ptCount val="6"/>
                <c:pt idx="0">
                  <c:v>30</c:v>
                </c:pt>
                <c:pt idx="1">
                  <c:v>34</c:v>
                </c:pt>
                <c:pt idx="2">
                  <c:v>23</c:v>
                </c:pt>
                <c:pt idx="3">
                  <c:v>13</c:v>
                </c:pt>
                <c:pt idx="4">
                  <c:v>8</c:v>
                </c:pt>
                <c:pt idx="5">
                  <c:v>1</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podle Vás dostatečná nabídka služeb pro seniory v obci a jejím okolí?</a:t>
            </a:r>
          </a:p>
        </c:rich>
      </c:tx>
      <c:layout>
        <c:manualLayout>
          <c:xMode val="edge"/>
          <c:yMode val="edge"/>
          <c:x val="0.14618179229144926"/>
          <c:y val="2.1084399855565802E-2"/>
        </c:manualLayout>
      </c:layout>
      <c:spPr>
        <a:noFill/>
        <a:ln w="25400">
          <a:noFill/>
        </a:ln>
      </c:spPr>
    </c:title>
    <c:view3D>
      <c:rotX val="30"/>
      <c:perspective val="0"/>
    </c:view3D>
    <c:plotArea>
      <c:layout>
        <c:manualLayout>
          <c:layoutTarget val="inner"/>
          <c:xMode val="edge"/>
          <c:yMode val="edge"/>
          <c:x val="7.154139163117669E-2"/>
          <c:y val="0.30074474310721178"/>
          <c:w val="0.53125231544212259"/>
          <c:h val="0.61793021629062606"/>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3"/>
              <c:layout>
                <c:manualLayout>
                  <c:x val="3.882676281626421E-2"/>
                  <c:y val="1.6035364000552563E-3"/>
                </c:manualLayout>
              </c:layout>
              <c:showPercent val="1"/>
            </c:dLbl>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'4.10'!$A$2:$F$2</c:f>
              <c:strCache>
                <c:ptCount val="6"/>
                <c:pt idx="0">
                  <c:v>ano</c:v>
                </c:pt>
                <c:pt idx="1">
                  <c:v>spíše ano</c:v>
                </c:pt>
                <c:pt idx="2">
                  <c:v>spíše ne</c:v>
                </c:pt>
                <c:pt idx="3">
                  <c:v>ne</c:v>
                </c:pt>
                <c:pt idx="4">
                  <c:v>nevím</c:v>
                </c:pt>
                <c:pt idx="5">
                  <c:v>bez odpovědi</c:v>
                </c:pt>
              </c:strCache>
            </c:strRef>
          </c:cat>
          <c:val>
            <c:numRef>
              <c:f>'4.10'!$A$3:$F$3</c:f>
              <c:numCache>
                <c:formatCode>General</c:formatCode>
                <c:ptCount val="6"/>
                <c:pt idx="0">
                  <c:v>3</c:v>
                </c:pt>
                <c:pt idx="1">
                  <c:v>11</c:v>
                </c:pt>
                <c:pt idx="2">
                  <c:v>9</c:v>
                </c:pt>
                <c:pt idx="3">
                  <c:v>1</c:v>
                </c:pt>
              </c:numCache>
            </c:numRef>
          </c:val>
        </c:ser>
      </c:pie3DChart>
      <c:spPr>
        <a:noFill/>
        <a:ln w="25400">
          <a:noFill/>
        </a:ln>
      </c:spPr>
    </c:plotArea>
    <c:legend>
      <c:legendPos val="r"/>
      <c:layout>
        <c:manualLayout>
          <c:xMode val="edge"/>
          <c:yMode val="edge"/>
          <c:x val="0.7051070636372474"/>
          <c:y val="0.21820969747202895"/>
          <c:w val="0.29339024541124281"/>
          <c:h val="0.78179030252797665"/>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 Je podle Vás dostatečná nabídka služeb pro seniory </a:t>
            </a:r>
            <a:r>
              <a:rPr lang="cs-CZ" sz="1100" b="1" i="0" u="none" strike="noStrike" baseline="0"/>
              <a:t>(pečovatelská služba, rozvoz obědů apod.)</a:t>
            </a:r>
            <a:r>
              <a:rPr lang="cs-CZ" sz="1100"/>
              <a:t>?</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'11'!$A$2:$F$2</c:f>
              <c:strCache>
                <c:ptCount val="6"/>
                <c:pt idx="0">
                  <c:v>ano</c:v>
                </c:pt>
                <c:pt idx="1">
                  <c:v>spíše ano</c:v>
                </c:pt>
                <c:pt idx="2">
                  <c:v>spíše ne</c:v>
                </c:pt>
                <c:pt idx="3">
                  <c:v>ne</c:v>
                </c:pt>
                <c:pt idx="4">
                  <c:v>bez odpovědi</c:v>
                </c:pt>
                <c:pt idx="5">
                  <c:v>nevím</c:v>
                </c:pt>
              </c:strCache>
            </c:strRef>
          </c:cat>
          <c:val>
            <c:numRef>
              <c:f>'11'!$A$3:$F$3</c:f>
              <c:numCache>
                <c:formatCode>General</c:formatCode>
                <c:ptCount val="6"/>
                <c:pt idx="0">
                  <c:v>39</c:v>
                </c:pt>
                <c:pt idx="1">
                  <c:v>47</c:v>
                </c:pt>
                <c:pt idx="2">
                  <c:v>10</c:v>
                </c:pt>
                <c:pt idx="3">
                  <c:v>4</c:v>
                </c:pt>
                <c:pt idx="4">
                  <c:v>8</c:v>
                </c:pt>
                <c:pt idx="5">
                  <c:v>1</c:v>
                </c:pt>
              </c:numCache>
            </c:numRef>
          </c:val>
        </c:ser>
        <c:dLbls>
          <c:showPercent val="1"/>
        </c:dLbls>
      </c:pie3DChart>
      <c:spPr>
        <a:noFill/>
        <a:ln w="25400">
          <a:noFill/>
        </a:ln>
      </c:spPr>
    </c:plotArea>
    <c:legend>
      <c:legendPos val="r"/>
      <c:layout>
        <c:manualLayout>
          <c:xMode val="edge"/>
          <c:yMode val="edge"/>
          <c:x val="0.67547955495462064"/>
          <c:y val="0.31148114380439534"/>
          <c:w val="0.29758441810935643"/>
          <c:h val="0.68482663351291662"/>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Jsou veřejné prostory a služby v obci bez problému dostupné také pro zdravotně postižené?</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'25'!$A$2:$F$2</c:f>
              <c:strCache>
                <c:ptCount val="6"/>
                <c:pt idx="0">
                  <c:v>ano</c:v>
                </c:pt>
                <c:pt idx="1">
                  <c:v>spíše ano</c:v>
                </c:pt>
                <c:pt idx="2">
                  <c:v>spíše ne </c:v>
                </c:pt>
                <c:pt idx="3">
                  <c:v>ne</c:v>
                </c:pt>
                <c:pt idx="4">
                  <c:v>bez odpovědi</c:v>
                </c:pt>
                <c:pt idx="5">
                  <c:v>nevím</c:v>
                </c:pt>
              </c:strCache>
            </c:strRef>
          </c:cat>
          <c:val>
            <c:numRef>
              <c:f>'25'!$A$3:$F$3</c:f>
              <c:numCache>
                <c:formatCode>General</c:formatCode>
                <c:ptCount val="6"/>
                <c:pt idx="0">
                  <c:v>10</c:v>
                </c:pt>
                <c:pt idx="1">
                  <c:v>29</c:v>
                </c:pt>
                <c:pt idx="2">
                  <c:v>39</c:v>
                </c:pt>
                <c:pt idx="3">
                  <c:v>20</c:v>
                </c:pt>
                <c:pt idx="4">
                  <c:v>9</c:v>
                </c:pt>
                <c:pt idx="5">
                  <c:v>2</c:v>
                </c:pt>
              </c:numCache>
            </c:numRef>
          </c:val>
        </c:ser>
        <c:dLbls>
          <c:showPercent val="1"/>
        </c:dLbls>
      </c:pie3DChart>
      <c:spPr>
        <a:noFill/>
        <a:ln w="25400">
          <a:noFill/>
        </a:ln>
      </c:spPr>
    </c:plotArea>
    <c:legend>
      <c:legendPos val="r"/>
      <c:layout>
        <c:manualLayout>
          <c:xMode val="edge"/>
          <c:yMode val="edge"/>
          <c:x val="0.67979211900838821"/>
          <c:y val="0.40098274600921063"/>
          <c:w val="0.29362980790192167"/>
          <c:h val="0.5935900635371395"/>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Způsob</a:t>
            </a:r>
            <a:r>
              <a:rPr lang="cs-CZ" baseline="0"/>
              <a:t> bydlení (počty bytů)</a:t>
            </a:r>
            <a:endParaRPr lang="cs-CZ"/>
          </a:p>
        </c:rich>
      </c:tx>
    </c:title>
    <c:view3D>
      <c:rAngAx val="1"/>
    </c:view3D>
    <c:plotArea>
      <c:layout/>
      <c:bar3DChart>
        <c:barDir val="col"/>
        <c:grouping val="stacked"/>
        <c:ser>
          <c:idx val="0"/>
          <c:order val="0"/>
          <c:tx>
            <c:strRef>
              <c:f>Bydlení!$C$100</c:f>
              <c:strCache>
                <c:ptCount val="1"/>
                <c:pt idx="0">
                  <c:v>Byty v samostatných domech</c:v>
                </c:pt>
              </c:strCache>
            </c:strRef>
          </c:tx>
          <c:cat>
            <c:strRef>
              <c:f>Bydlení!$B$101:$B$102</c:f>
              <c:strCache>
                <c:ptCount val="2"/>
                <c:pt idx="0">
                  <c:v>Města</c:v>
                </c:pt>
                <c:pt idx="1">
                  <c:v>Obce</c:v>
                </c:pt>
              </c:strCache>
            </c:strRef>
          </c:cat>
          <c:val>
            <c:numRef>
              <c:f>Bydlení!$C$101:$C$102</c:f>
              <c:numCache>
                <c:formatCode>General</c:formatCode>
                <c:ptCount val="2"/>
                <c:pt idx="0">
                  <c:v>4504</c:v>
                </c:pt>
                <c:pt idx="1">
                  <c:v>5858</c:v>
                </c:pt>
              </c:numCache>
            </c:numRef>
          </c:val>
        </c:ser>
        <c:ser>
          <c:idx val="1"/>
          <c:order val="1"/>
          <c:tx>
            <c:strRef>
              <c:f>Bydlení!$D$100</c:f>
              <c:strCache>
                <c:ptCount val="1"/>
                <c:pt idx="0">
                  <c:v>Byty v bytových domech</c:v>
                </c:pt>
              </c:strCache>
            </c:strRef>
          </c:tx>
          <c:cat>
            <c:strRef>
              <c:f>Bydlení!$B$101:$B$102</c:f>
              <c:strCache>
                <c:ptCount val="2"/>
                <c:pt idx="0">
                  <c:v>Města</c:v>
                </c:pt>
                <c:pt idx="1">
                  <c:v>Obce</c:v>
                </c:pt>
              </c:strCache>
            </c:strRef>
          </c:cat>
          <c:val>
            <c:numRef>
              <c:f>Bydlení!$D$101:$D$102</c:f>
              <c:numCache>
                <c:formatCode>General</c:formatCode>
                <c:ptCount val="2"/>
                <c:pt idx="0">
                  <c:v>5044</c:v>
                </c:pt>
                <c:pt idx="1">
                  <c:v>1273</c:v>
                </c:pt>
              </c:numCache>
            </c:numRef>
          </c:val>
        </c:ser>
        <c:dLbls>
          <c:showVal val="1"/>
        </c:dLbls>
        <c:gapWidth val="55"/>
        <c:gapDepth val="55"/>
        <c:shape val="box"/>
        <c:axId val="168344960"/>
        <c:axId val="168359040"/>
        <c:axId val="0"/>
      </c:bar3DChart>
      <c:catAx>
        <c:axId val="168344960"/>
        <c:scaling>
          <c:orientation val="minMax"/>
        </c:scaling>
        <c:axPos val="b"/>
        <c:majorTickMark val="none"/>
        <c:tickLblPos val="nextTo"/>
        <c:crossAx val="168359040"/>
        <c:crosses val="autoZero"/>
        <c:auto val="1"/>
        <c:lblAlgn val="ctr"/>
        <c:lblOffset val="100"/>
      </c:catAx>
      <c:valAx>
        <c:axId val="168359040"/>
        <c:scaling>
          <c:orientation val="minMax"/>
        </c:scaling>
        <c:axPos val="l"/>
        <c:majorGridlines/>
        <c:numFmt formatCode="General" sourceLinked="1"/>
        <c:majorTickMark val="none"/>
        <c:tickLblPos val="nextTo"/>
        <c:crossAx val="168344960"/>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050"/>
              <a:t>Jaký typ podpory bydlení ve Vaší obci byste uvítali?</a:t>
            </a:r>
          </a:p>
        </c:rich>
      </c:tx>
      <c:layout>
        <c:manualLayout>
          <c:xMode val="edge"/>
          <c:yMode val="edge"/>
          <c:x val="0.12463888888888892"/>
          <c:y val="2.7491362635314744E-2"/>
        </c:manualLayout>
      </c:layout>
      <c:spPr>
        <a:noFill/>
        <a:ln w="25400">
          <a:noFill/>
        </a:ln>
      </c:spPr>
    </c:title>
    <c:view3D>
      <c:rotX val="30"/>
      <c:perspective val="0"/>
    </c:view3D>
    <c:plotArea>
      <c:layout>
        <c:manualLayout>
          <c:layoutTarget val="inner"/>
          <c:xMode val="edge"/>
          <c:yMode val="edge"/>
          <c:x val="4.7587489063867026E-2"/>
          <c:y val="0.34574037620297482"/>
          <c:w val="0.55264807153343876"/>
          <c:h val="0.56835247156605428"/>
        </c:manualLayout>
      </c:layout>
      <c:pie3DChart>
        <c:varyColors val="1"/>
        <c:ser>
          <c:idx val="0"/>
          <c:order val="0"/>
          <c:spPr>
            <a:solidFill>
              <a:srgbClr val="4F81BD"/>
            </a:solidFill>
            <a:ln w="25400">
              <a:noFill/>
            </a:ln>
          </c:spPr>
          <c:dPt>
            <c:idx val="1"/>
            <c:spPr>
              <a:solidFill>
                <a:srgbClr val="C0504D"/>
              </a:solidFill>
              <a:ln w="25400">
                <a:noFill/>
              </a:ln>
            </c:spPr>
          </c:dPt>
          <c:dPt>
            <c:idx val="2"/>
            <c:spPr>
              <a:solidFill>
                <a:srgbClr val="9BBB59"/>
              </a:solidFill>
              <a:ln w="25400">
                <a:noFill/>
              </a:ln>
            </c:spPr>
          </c:dPt>
          <c:dLbls>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'4.20'!$A$2:$C$2</c:f>
              <c:strCache>
                <c:ptCount val="3"/>
                <c:pt idx="0">
                  <c:v>Vytváření podmínek pro výstavbu RD</c:v>
                </c:pt>
                <c:pt idx="1">
                  <c:v>Vytváření podmínek pro výstavbu nájemních domů</c:v>
                </c:pt>
                <c:pt idx="2">
                  <c:v>Výstavba obecní bytů</c:v>
                </c:pt>
              </c:strCache>
            </c:strRef>
          </c:cat>
          <c:val>
            <c:numRef>
              <c:f>'4.20'!$A$3:$C$3</c:f>
              <c:numCache>
                <c:formatCode>General</c:formatCode>
                <c:ptCount val="3"/>
                <c:pt idx="0">
                  <c:v>23</c:v>
                </c:pt>
                <c:pt idx="1">
                  <c:v>1</c:v>
                </c:pt>
                <c:pt idx="2">
                  <c:v>1</c:v>
                </c:pt>
              </c:numCache>
            </c:numRef>
          </c:val>
        </c:ser>
      </c:pie3DChart>
      <c:spPr>
        <a:noFill/>
        <a:ln w="25400">
          <a:noFill/>
        </a:ln>
      </c:spPr>
    </c:plotArea>
    <c:legend>
      <c:legendPos val="r"/>
      <c:layout>
        <c:manualLayout>
          <c:xMode val="edge"/>
          <c:yMode val="edge"/>
          <c:x val="0.58082227857111091"/>
          <c:y val="0.20373031496062993"/>
          <c:w val="0.41694808487922352"/>
          <c:h val="0.7962696850393701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Počet</a:t>
            </a:r>
            <a:r>
              <a:rPr lang="cs-CZ" baseline="0"/>
              <a:t> obyvatel</a:t>
            </a:r>
          </a:p>
        </c:rich>
      </c:tx>
    </c:title>
    <c:plotArea>
      <c:layout/>
      <c:barChart>
        <c:barDir val="col"/>
        <c:grouping val="clustered"/>
        <c:ser>
          <c:idx val="0"/>
          <c:order val="0"/>
          <c:tx>
            <c:v>Vývoj obyvatestva</c:v>
          </c:tx>
          <c:cat>
            <c:numRef>
              <c:f>List1!$B$74:$G$74</c:f>
              <c:numCache>
                <c:formatCode>General</c:formatCode>
                <c:ptCount val="6"/>
                <c:pt idx="0">
                  <c:v>2008</c:v>
                </c:pt>
                <c:pt idx="1">
                  <c:v>2009</c:v>
                </c:pt>
                <c:pt idx="2">
                  <c:v>2010</c:v>
                </c:pt>
                <c:pt idx="3">
                  <c:v>2011</c:v>
                </c:pt>
                <c:pt idx="4">
                  <c:v>2012</c:v>
                </c:pt>
                <c:pt idx="5">
                  <c:v>2013</c:v>
                </c:pt>
              </c:numCache>
            </c:numRef>
          </c:cat>
          <c:val>
            <c:numRef>
              <c:f>List1!$B$75:$G$75</c:f>
              <c:numCache>
                <c:formatCode>General</c:formatCode>
                <c:ptCount val="6"/>
                <c:pt idx="0">
                  <c:v>45683</c:v>
                </c:pt>
                <c:pt idx="1">
                  <c:v>45924</c:v>
                </c:pt>
                <c:pt idx="2">
                  <c:v>45884</c:v>
                </c:pt>
                <c:pt idx="3">
                  <c:v>45832</c:v>
                </c:pt>
                <c:pt idx="4">
                  <c:v>45854</c:v>
                </c:pt>
                <c:pt idx="5">
                  <c:v>45748</c:v>
                </c:pt>
              </c:numCache>
            </c:numRef>
          </c:val>
        </c:ser>
        <c:axId val="164620160"/>
        <c:axId val="164621696"/>
      </c:barChart>
      <c:catAx>
        <c:axId val="164620160"/>
        <c:scaling>
          <c:orientation val="minMax"/>
        </c:scaling>
        <c:axPos val="b"/>
        <c:numFmt formatCode="General" sourceLinked="1"/>
        <c:tickLblPos val="nextTo"/>
        <c:crossAx val="164621696"/>
        <c:crosses val="autoZero"/>
        <c:auto val="1"/>
        <c:lblAlgn val="ctr"/>
        <c:lblOffset val="100"/>
      </c:catAx>
      <c:valAx>
        <c:axId val="164621696"/>
        <c:scaling>
          <c:orientation val="minMax"/>
        </c:scaling>
        <c:axPos val="l"/>
        <c:majorGridlines/>
        <c:numFmt formatCode="General" sourceLinked="1"/>
        <c:tickLblPos val="nextTo"/>
        <c:crossAx val="164620160"/>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050"/>
              <a:t>Jaký typ podpory bydlení byste v obci uvítali? </a:t>
            </a:r>
          </a:p>
        </c:rich>
      </c:tx>
    </c:title>
    <c:view3D>
      <c:rotX val="30"/>
      <c:perspective val="30"/>
    </c:view3D>
    <c:plotArea>
      <c:layout>
        <c:manualLayout>
          <c:layoutTarget val="inner"/>
          <c:xMode val="edge"/>
          <c:yMode val="edge"/>
          <c:x val="2.1456038925366891E-2"/>
          <c:y val="0.28802055993001147"/>
          <c:w val="0.56616876378824299"/>
          <c:h val="0.64368110236220899"/>
        </c:manualLayout>
      </c:layout>
      <c:pie3DChart>
        <c:varyColors val="1"/>
        <c:ser>
          <c:idx val="0"/>
          <c:order val="0"/>
          <c:dLbls>
            <c:dLbl>
              <c:idx val="2"/>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'24'!$A$2:$C$2</c:f>
              <c:strCache>
                <c:ptCount val="3"/>
                <c:pt idx="0">
                  <c:v>vytváření podmínek pro výstavbu RD</c:v>
                </c:pt>
                <c:pt idx="1">
                  <c:v>výstavba obecních bytů</c:v>
                </c:pt>
                <c:pt idx="2">
                  <c:v>vytváření podmínek pro výstavbu nájemních domů</c:v>
                </c:pt>
              </c:strCache>
            </c:strRef>
          </c:cat>
          <c:val>
            <c:numRef>
              <c:f>'24'!$A$3:$C$3</c:f>
              <c:numCache>
                <c:formatCode>General</c:formatCode>
                <c:ptCount val="3"/>
                <c:pt idx="0">
                  <c:v>78</c:v>
                </c:pt>
                <c:pt idx="1">
                  <c:v>20</c:v>
                </c:pt>
                <c:pt idx="2">
                  <c:v>0</c:v>
                </c:pt>
              </c:numCache>
            </c:numRef>
          </c:val>
        </c:ser>
        <c:dLbls>
          <c:showPercent val="1"/>
        </c:dLbls>
      </c:pie3DChart>
      <c:spPr>
        <a:noFill/>
        <a:ln w="25400">
          <a:noFill/>
        </a:ln>
      </c:spPr>
    </c:plotArea>
    <c:legend>
      <c:legendPos val="r"/>
      <c:layout>
        <c:manualLayout>
          <c:xMode val="edge"/>
          <c:yMode val="edge"/>
          <c:x val="0.59136212624584106"/>
          <c:y val="0.18854526162953153"/>
          <c:w val="0.38205980066445616"/>
          <c:h val="0.76929245546434799"/>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Jste spokojeni se stavem životního prostředí ve Vaší obci?</a:t>
            </a:r>
          </a:p>
        </c:rich>
      </c:tx>
      <c:layout>
        <c:manualLayout>
          <c:xMode val="edge"/>
          <c:yMode val="edge"/>
          <c:x val="0.13341597072966241"/>
          <c:y val="2.7491362635314744E-2"/>
        </c:manualLayout>
      </c:layout>
      <c:spPr>
        <a:noFill/>
        <a:ln w="25400">
          <a:noFill/>
        </a:ln>
      </c:spPr>
    </c:title>
    <c:view3D>
      <c:rotX val="30"/>
      <c:perspective val="0"/>
    </c:view3D>
    <c:plotArea>
      <c:layout>
        <c:manualLayout>
          <c:layoutTarget val="inner"/>
          <c:xMode val="edge"/>
          <c:yMode val="edge"/>
          <c:x val="5.6376525762692795E-2"/>
          <c:y val="0.30871332397255274"/>
          <c:w val="0.59007931572562844"/>
          <c:h val="0.60537912641722691"/>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'4.18'!$A$2:$F$2</c:f>
              <c:strCache>
                <c:ptCount val="6"/>
                <c:pt idx="0">
                  <c:v>ano</c:v>
                </c:pt>
                <c:pt idx="1">
                  <c:v>spíše ano</c:v>
                </c:pt>
                <c:pt idx="2">
                  <c:v>spíše ne</c:v>
                </c:pt>
                <c:pt idx="3">
                  <c:v>ne</c:v>
                </c:pt>
                <c:pt idx="4">
                  <c:v>nevím</c:v>
                </c:pt>
                <c:pt idx="5">
                  <c:v>bez odpovědi</c:v>
                </c:pt>
              </c:strCache>
            </c:strRef>
          </c:cat>
          <c:val>
            <c:numRef>
              <c:f>'4.18'!$A$3:$F$3</c:f>
              <c:numCache>
                <c:formatCode>General</c:formatCode>
                <c:ptCount val="6"/>
                <c:pt idx="0">
                  <c:v>5</c:v>
                </c:pt>
                <c:pt idx="1">
                  <c:v>15</c:v>
                </c:pt>
                <c:pt idx="2">
                  <c:v>3</c:v>
                </c:pt>
                <c:pt idx="3">
                  <c:v>1</c:v>
                </c:pt>
              </c:numCache>
            </c:numRef>
          </c:val>
        </c:ser>
      </c:pie3DChart>
      <c:spPr>
        <a:noFill/>
        <a:ln w="25400">
          <a:noFill/>
        </a:ln>
      </c:spPr>
    </c:plotArea>
    <c:legend>
      <c:legendPos val="r"/>
      <c:layout>
        <c:manualLayout>
          <c:xMode val="edge"/>
          <c:yMode val="edge"/>
          <c:x val="0.7041680993003322"/>
          <c:y val="0.47422839557962143"/>
          <c:w val="0.19791706932997521"/>
          <c:h val="0.4948470214743794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Jste spokojen s úrovní životního prostředí ve Vaší obci?</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'22'!$A$2:$F$2</c:f>
              <c:strCache>
                <c:ptCount val="6"/>
                <c:pt idx="0">
                  <c:v>ano</c:v>
                </c:pt>
                <c:pt idx="1">
                  <c:v>spíše ano</c:v>
                </c:pt>
                <c:pt idx="2">
                  <c:v>spíše ne </c:v>
                </c:pt>
                <c:pt idx="3">
                  <c:v>ne</c:v>
                </c:pt>
                <c:pt idx="4">
                  <c:v>bez odpovědi</c:v>
                </c:pt>
                <c:pt idx="5">
                  <c:v>nevím</c:v>
                </c:pt>
              </c:strCache>
            </c:strRef>
          </c:cat>
          <c:val>
            <c:numRef>
              <c:f>'22'!$A$3:$F$3</c:f>
              <c:numCache>
                <c:formatCode>General</c:formatCode>
                <c:ptCount val="6"/>
                <c:pt idx="0">
                  <c:v>36</c:v>
                </c:pt>
                <c:pt idx="1">
                  <c:v>49</c:v>
                </c:pt>
                <c:pt idx="2">
                  <c:v>12</c:v>
                </c:pt>
                <c:pt idx="3">
                  <c:v>3</c:v>
                </c:pt>
                <c:pt idx="4">
                  <c:v>9</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Je podpora místních zájmových a sportovních sdružení dostatečná?</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'5'!$A$2:$F$2</c:f>
              <c:strCache>
                <c:ptCount val="6"/>
                <c:pt idx="0">
                  <c:v>ano</c:v>
                </c:pt>
                <c:pt idx="1">
                  <c:v>spíše ano</c:v>
                </c:pt>
                <c:pt idx="2">
                  <c:v>spíše ne</c:v>
                </c:pt>
                <c:pt idx="3">
                  <c:v>ne</c:v>
                </c:pt>
                <c:pt idx="4">
                  <c:v>bez odpovědi</c:v>
                </c:pt>
                <c:pt idx="5">
                  <c:v>nevím</c:v>
                </c:pt>
              </c:strCache>
            </c:strRef>
          </c:cat>
          <c:val>
            <c:numRef>
              <c:f>'5'!$A$3:$F$3</c:f>
              <c:numCache>
                <c:formatCode>General</c:formatCode>
                <c:ptCount val="6"/>
                <c:pt idx="0">
                  <c:v>28</c:v>
                </c:pt>
                <c:pt idx="1">
                  <c:v>34</c:v>
                </c:pt>
                <c:pt idx="2">
                  <c:v>28</c:v>
                </c:pt>
                <c:pt idx="3">
                  <c:v>7</c:v>
                </c:pt>
                <c:pt idx="4">
                  <c:v>10</c:v>
                </c:pt>
                <c:pt idx="5">
                  <c:v>2</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podle Vás dostačující nabídka kulturních aktivit v obci?</a:t>
            </a:r>
          </a:p>
        </c:rich>
      </c:tx>
      <c:layout>
        <c:manualLayout>
          <c:xMode val="edge"/>
          <c:yMode val="edge"/>
          <c:x val="0.11352563433243212"/>
          <c:y val="2.2160725827125402E-2"/>
        </c:manualLayout>
      </c:layout>
      <c:spPr>
        <a:noFill/>
        <a:ln w="25400">
          <a:noFill/>
        </a:ln>
      </c:spPr>
    </c:title>
    <c:view3D>
      <c:rotX val="30"/>
      <c:perspective val="0"/>
    </c:view3D>
    <c:plotArea>
      <c:layout>
        <c:manualLayout>
          <c:layoutTarget val="inner"/>
          <c:xMode val="edge"/>
          <c:yMode val="edge"/>
          <c:x val="8.9765143185013135E-2"/>
          <c:y val="0.30628620862097738"/>
          <c:w val="0.57524087507826793"/>
          <c:h val="0.61338259178919352"/>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'4.4'!$A$2:$F$2</c:f>
              <c:strCache>
                <c:ptCount val="6"/>
                <c:pt idx="0">
                  <c:v>ano</c:v>
                </c:pt>
                <c:pt idx="1">
                  <c:v>spíše ano</c:v>
                </c:pt>
                <c:pt idx="2">
                  <c:v>spíše ne</c:v>
                </c:pt>
                <c:pt idx="3">
                  <c:v>ne</c:v>
                </c:pt>
                <c:pt idx="4">
                  <c:v>nevím</c:v>
                </c:pt>
                <c:pt idx="5">
                  <c:v>bez odpovědi</c:v>
                </c:pt>
              </c:strCache>
            </c:strRef>
          </c:cat>
          <c:val>
            <c:numRef>
              <c:f>'4.4'!$A$3:$F$3</c:f>
              <c:numCache>
                <c:formatCode>General</c:formatCode>
                <c:ptCount val="6"/>
                <c:pt idx="0">
                  <c:v>4</c:v>
                </c:pt>
                <c:pt idx="1">
                  <c:v>12</c:v>
                </c:pt>
                <c:pt idx="2">
                  <c:v>6</c:v>
                </c:pt>
                <c:pt idx="3">
                  <c:v>2</c:v>
                </c:pt>
              </c:numCache>
            </c:numRef>
          </c:val>
        </c:ser>
      </c:pie3DChart>
      <c:spPr>
        <a:noFill/>
        <a:ln w="25400">
          <a:noFill/>
        </a:ln>
      </c:spPr>
    </c:plotArea>
    <c:legend>
      <c:legendPos val="r"/>
      <c:layout>
        <c:manualLayout>
          <c:xMode val="edge"/>
          <c:yMode val="edge"/>
          <c:x val="0.71715727841712162"/>
          <c:y val="0.28064982398527238"/>
          <c:w val="0.27883145041652047"/>
          <c:h val="0.63901879563632769"/>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 </a:t>
            </a:r>
            <a:r>
              <a:rPr lang="cs-CZ" sz="1100"/>
              <a:t>Je pro Vás dostačující nabídka kulturních aktivit v obci?</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'2'!$A$2:$F$2</c:f>
              <c:strCache>
                <c:ptCount val="6"/>
                <c:pt idx="0">
                  <c:v>ano</c:v>
                </c:pt>
                <c:pt idx="1">
                  <c:v>spíše ano</c:v>
                </c:pt>
                <c:pt idx="2">
                  <c:v>spíše ne</c:v>
                </c:pt>
                <c:pt idx="3">
                  <c:v>ne</c:v>
                </c:pt>
                <c:pt idx="4">
                  <c:v>bez odpovědi</c:v>
                </c:pt>
                <c:pt idx="5">
                  <c:v>nevím</c:v>
                </c:pt>
              </c:strCache>
            </c:strRef>
          </c:cat>
          <c:val>
            <c:numRef>
              <c:f>'2'!$A$3:$F$3</c:f>
              <c:numCache>
                <c:formatCode>General</c:formatCode>
                <c:ptCount val="6"/>
                <c:pt idx="0">
                  <c:v>38</c:v>
                </c:pt>
                <c:pt idx="1">
                  <c:v>34</c:v>
                </c:pt>
                <c:pt idx="2">
                  <c:v>18</c:v>
                </c:pt>
                <c:pt idx="3">
                  <c:v>11</c:v>
                </c:pt>
                <c:pt idx="4">
                  <c:v>8</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podle Vás dostatečná nabídka sportovního vyžití v obci?</a:t>
            </a:r>
          </a:p>
        </c:rich>
      </c:tx>
      <c:layout>
        <c:manualLayout>
          <c:xMode val="edge"/>
          <c:yMode val="edge"/>
          <c:x val="0.15565112796548727"/>
          <c:y val="2.7491362635314744E-2"/>
        </c:manualLayout>
      </c:layout>
      <c:spPr>
        <a:noFill/>
        <a:ln w="25400">
          <a:noFill/>
        </a:ln>
      </c:spPr>
    </c:title>
    <c:view3D>
      <c:rotX val="30"/>
      <c:perspective val="0"/>
    </c:view3D>
    <c:plotArea>
      <c:layout>
        <c:manualLayout>
          <c:layoutTarget val="inner"/>
          <c:xMode val="edge"/>
          <c:yMode val="edge"/>
          <c:x val="6.7480333909872112E-2"/>
          <c:y val="0.34570979328587598"/>
          <c:w val="0.5817514596152531"/>
          <c:h val="0.59613000908889635"/>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'4.5'!$A$2:$F$2</c:f>
              <c:strCache>
                <c:ptCount val="6"/>
                <c:pt idx="0">
                  <c:v>ano</c:v>
                </c:pt>
                <c:pt idx="1">
                  <c:v>spíše ano</c:v>
                </c:pt>
                <c:pt idx="2">
                  <c:v>spíše ne</c:v>
                </c:pt>
                <c:pt idx="3">
                  <c:v>ne</c:v>
                </c:pt>
                <c:pt idx="4">
                  <c:v>nevím</c:v>
                </c:pt>
                <c:pt idx="5">
                  <c:v>bez odpovědi</c:v>
                </c:pt>
              </c:strCache>
            </c:strRef>
          </c:cat>
          <c:val>
            <c:numRef>
              <c:f>'4.5'!$A$3:$F$3</c:f>
              <c:numCache>
                <c:formatCode>General</c:formatCode>
                <c:ptCount val="6"/>
                <c:pt idx="0">
                  <c:v>2</c:v>
                </c:pt>
                <c:pt idx="1">
                  <c:v>13</c:v>
                </c:pt>
                <c:pt idx="2">
                  <c:v>6</c:v>
                </c:pt>
                <c:pt idx="3">
                  <c:v>3</c:v>
                </c:pt>
              </c:numCache>
            </c:numRef>
          </c:val>
        </c:ser>
      </c:pie3DChart>
      <c:spPr>
        <a:noFill/>
        <a:ln w="25400">
          <a:noFill/>
        </a:ln>
      </c:spPr>
    </c:plotArea>
    <c:legend>
      <c:legendPos val="r"/>
      <c:layout>
        <c:manualLayout>
          <c:xMode val="edge"/>
          <c:yMode val="edge"/>
          <c:x val="0.75413523957451611"/>
          <c:y val="0.39098640743892016"/>
          <c:w val="0.19791706932997521"/>
          <c:h val="0.4948470214743794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 Je podle Vás dostačující nabídka sportovního vyžití v obci?</a:t>
            </a:r>
          </a:p>
        </c:rich>
      </c:tx>
    </c:title>
    <c:view3D>
      <c:rotX val="30"/>
      <c:perspective val="30"/>
    </c:view3D>
    <c:plotArea>
      <c:layout/>
      <c:pie3DChart>
        <c:varyColors val="1"/>
        <c:ser>
          <c:idx val="0"/>
          <c:order val="0"/>
          <c:dLbls>
            <c:dLbl>
              <c:idx val="3"/>
              <c:layout>
                <c:manualLayout>
                  <c:x val="9.1742324155789298E-2"/>
                  <c:y val="8.2558364414974508E-2"/>
                </c:manualLayout>
              </c:layout>
              <c:showPercent val="1"/>
            </c:dLbl>
            <c:dLbl>
              <c:idx val="4"/>
              <c:delete val="1"/>
            </c:dLbl>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'3'!$A$2:$F$2</c:f>
              <c:strCache>
                <c:ptCount val="6"/>
                <c:pt idx="0">
                  <c:v>ano</c:v>
                </c:pt>
                <c:pt idx="1">
                  <c:v>spíše ano</c:v>
                </c:pt>
                <c:pt idx="2">
                  <c:v>spíše ne</c:v>
                </c:pt>
                <c:pt idx="3">
                  <c:v>ne</c:v>
                </c:pt>
                <c:pt idx="4">
                  <c:v>bez odpovědi</c:v>
                </c:pt>
                <c:pt idx="5">
                  <c:v>nevím</c:v>
                </c:pt>
              </c:strCache>
            </c:strRef>
          </c:cat>
          <c:val>
            <c:numRef>
              <c:f>'3'!$A$3:$F$3</c:f>
              <c:numCache>
                <c:formatCode>General</c:formatCode>
                <c:ptCount val="6"/>
                <c:pt idx="0">
                  <c:v>28</c:v>
                </c:pt>
                <c:pt idx="1">
                  <c:v>39</c:v>
                </c:pt>
                <c:pt idx="2">
                  <c:v>20</c:v>
                </c:pt>
                <c:pt idx="3">
                  <c:v>16</c:v>
                </c:pt>
                <c:pt idx="4">
                  <c:v>0</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podle Vás dostatečná nabídka dalších zájmových a volnočasových aktivit v obci?</a:t>
            </a:r>
          </a:p>
        </c:rich>
      </c:tx>
      <c:layout>
        <c:manualLayout>
          <c:xMode val="edge"/>
          <c:yMode val="edge"/>
          <c:x val="0.14380728548780544"/>
          <c:y val="1.8766732419648161E-2"/>
        </c:manualLayout>
      </c:layout>
      <c:spPr>
        <a:noFill/>
        <a:ln w="25400">
          <a:noFill/>
        </a:ln>
      </c:spPr>
    </c:title>
    <c:view3D>
      <c:rotX val="30"/>
      <c:perspective val="0"/>
    </c:view3D>
    <c:plotArea>
      <c:layout>
        <c:manualLayout>
          <c:layoutTarget val="inner"/>
          <c:xMode val="edge"/>
          <c:yMode val="edge"/>
          <c:x val="7.0890055925184783E-2"/>
          <c:y val="0.35237612788903677"/>
          <c:w val="0.53766823487746251"/>
          <c:h val="0.56719631768151979"/>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0"/>
              <c:layout>
                <c:manualLayout>
                  <c:x val="-1.9181137711321575E-2"/>
                  <c:y val="4.8090585535447124E-3"/>
                </c:manualLayout>
              </c:layout>
              <c:showPercent val="1"/>
            </c:dLbl>
            <c:dLbl>
              <c:idx val="3"/>
              <c:layout>
                <c:manualLayout>
                  <c:x val="1.2375018779218257E-2"/>
                  <c:y val="1.3764274230119309E-2"/>
                </c:manualLayout>
              </c:layout>
              <c:showPercent val="1"/>
            </c:dLbl>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'4.6'!$A$2:$F$2</c:f>
              <c:strCache>
                <c:ptCount val="6"/>
                <c:pt idx="0">
                  <c:v>ano</c:v>
                </c:pt>
                <c:pt idx="1">
                  <c:v>spíše ano</c:v>
                </c:pt>
                <c:pt idx="2">
                  <c:v>spíše ne</c:v>
                </c:pt>
                <c:pt idx="3">
                  <c:v>ne</c:v>
                </c:pt>
                <c:pt idx="4">
                  <c:v>nevím</c:v>
                </c:pt>
                <c:pt idx="5">
                  <c:v>bez odpovědi</c:v>
                </c:pt>
              </c:strCache>
            </c:strRef>
          </c:cat>
          <c:val>
            <c:numRef>
              <c:f>'4.6'!$A$3:$F$3</c:f>
              <c:numCache>
                <c:formatCode>General</c:formatCode>
                <c:ptCount val="6"/>
                <c:pt idx="0">
                  <c:v>1</c:v>
                </c:pt>
                <c:pt idx="1">
                  <c:v>9</c:v>
                </c:pt>
                <c:pt idx="2">
                  <c:v>13</c:v>
                </c:pt>
                <c:pt idx="3">
                  <c:v>1</c:v>
                </c:pt>
              </c:numCache>
            </c:numRef>
          </c:val>
        </c:ser>
      </c:pie3DChart>
      <c:spPr>
        <a:noFill/>
        <a:ln w="25400">
          <a:noFill/>
        </a:ln>
      </c:spPr>
    </c:plotArea>
    <c:legend>
      <c:legendPos val="r"/>
      <c:layout>
        <c:manualLayout>
          <c:xMode val="edge"/>
          <c:yMode val="edge"/>
          <c:x val="0.71756166240809871"/>
          <c:y val="0.27649759516101097"/>
          <c:w val="0.27858997757730902"/>
          <c:h val="0.69739637875214389"/>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 Je podle Vás dostatečná nabídka dalších zájmových a volnočasových aktivit v obci?</a:t>
            </a:r>
          </a:p>
        </c:rich>
      </c:tx>
    </c:title>
    <c:view3D>
      <c:rotX val="30"/>
      <c:perspective val="30"/>
    </c:view3D>
    <c:plotArea>
      <c:layout/>
      <c:pie3DChart>
        <c:varyColors val="1"/>
        <c:ser>
          <c:idx val="0"/>
          <c:order val="0"/>
          <c:dLbls>
            <c:dLbl>
              <c:idx val="4"/>
              <c:delete val="1"/>
            </c:dLbl>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'4'!$A$2:$F$2</c:f>
              <c:strCache>
                <c:ptCount val="6"/>
                <c:pt idx="0">
                  <c:v>ano</c:v>
                </c:pt>
                <c:pt idx="1">
                  <c:v>spíše ano</c:v>
                </c:pt>
                <c:pt idx="2">
                  <c:v>spíše ne</c:v>
                </c:pt>
                <c:pt idx="3">
                  <c:v>ne</c:v>
                </c:pt>
                <c:pt idx="4">
                  <c:v>bez odpovědi</c:v>
                </c:pt>
                <c:pt idx="5">
                  <c:v>nevím</c:v>
                </c:pt>
              </c:strCache>
            </c:strRef>
          </c:cat>
          <c:val>
            <c:numRef>
              <c:f>'4'!$A$3:$F$3</c:f>
              <c:numCache>
                <c:formatCode>General</c:formatCode>
                <c:ptCount val="6"/>
                <c:pt idx="0">
                  <c:v>18</c:v>
                </c:pt>
                <c:pt idx="1">
                  <c:v>42</c:v>
                </c:pt>
                <c:pt idx="2">
                  <c:v>29</c:v>
                </c:pt>
                <c:pt idx="3">
                  <c:v>12</c:v>
                </c:pt>
                <c:pt idx="4">
                  <c:v>0</c:v>
                </c:pt>
                <c:pt idx="5">
                  <c:v>0</c:v>
                </c:pt>
              </c:numCache>
            </c:numRef>
          </c:val>
        </c:ser>
        <c:dLbls>
          <c:showPercent val="1"/>
        </c:dLbls>
      </c:pie3DChart>
      <c:spPr>
        <a:noFill/>
        <a:ln w="25400">
          <a:noFill/>
        </a:ln>
      </c:spPr>
    </c:plotArea>
    <c:legend>
      <c:legendPos val="r"/>
      <c:layout>
        <c:manualLayout>
          <c:xMode val="edge"/>
          <c:yMode val="edge"/>
          <c:x val="0.68085241000504071"/>
          <c:y val="0.24202154418197741"/>
          <c:w val="0.29265752376979381"/>
          <c:h val="0.72630413385826753"/>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Struktura obyvatel</a:t>
            </a:r>
            <a:r>
              <a:rPr lang="cs-CZ" baseline="0"/>
              <a:t> dle pohlaví</a:t>
            </a:r>
            <a:endParaRPr lang="cs-CZ"/>
          </a:p>
        </c:rich>
      </c:tx>
    </c:title>
    <c:view3D>
      <c:rAngAx val="1"/>
    </c:view3D>
    <c:plotArea>
      <c:layout/>
      <c:bar3DChart>
        <c:barDir val="col"/>
        <c:grouping val="percentStacked"/>
        <c:ser>
          <c:idx val="1"/>
          <c:order val="0"/>
          <c:tx>
            <c:v>ženy</c:v>
          </c:tx>
          <c:cat>
            <c:numRef>
              <c:f>List1!$B$74:$G$74</c:f>
              <c:numCache>
                <c:formatCode>General</c:formatCode>
                <c:ptCount val="6"/>
                <c:pt idx="0">
                  <c:v>2008</c:v>
                </c:pt>
                <c:pt idx="1">
                  <c:v>2009</c:v>
                </c:pt>
                <c:pt idx="2">
                  <c:v>2010</c:v>
                </c:pt>
                <c:pt idx="3">
                  <c:v>2011</c:v>
                </c:pt>
                <c:pt idx="4">
                  <c:v>2012</c:v>
                </c:pt>
                <c:pt idx="5">
                  <c:v>2013</c:v>
                </c:pt>
              </c:numCache>
            </c:numRef>
          </c:cat>
          <c:val>
            <c:numRef>
              <c:f>List1!$B$76:$G$76</c:f>
              <c:numCache>
                <c:formatCode>General</c:formatCode>
                <c:ptCount val="6"/>
                <c:pt idx="0">
                  <c:v>23210</c:v>
                </c:pt>
                <c:pt idx="1">
                  <c:v>23292</c:v>
                </c:pt>
                <c:pt idx="2">
                  <c:v>23257</c:v>
                </c:pt>
                <c:pt idx="3">
                  <c:v>23246</c:v>
                </c:pt>
                <c:pt idx="4">
                  <c:v>23223</c:v>
                </c:pt>
                <c:pt idx="5">
                  <c:v>23164</c:v>
                </c:pt>
              </c:numCache>
            </c:numRef>
          </c:val>
        </c:ser>
        <c:ser>
          <c:idx val="2"/>
          <c:order val="1"/>
          <c:tx>
            <c:strRef>
              <c:f>List1!$A$77</c:f>
              <c:strCache>
                <c:ptCount val="1"/>
                <c:pt idx="0">
                  <c:v>muži</c:v>
                </c:pt>
              </c:strCache>
            </c:strRef>
          </c:tx>
          <c:dPt>
            <c:idx val="4"/>
            <c:spPr>
              <a:effectLst>
                <a:outerShdw blurRad="50800" dist="50800" dir="5400000" algn="ctr" rotWithShape="0">
                  <a:schemeClr val="tx2">
                    <a:lumMod val="60000"/>
                    <a:lumOff val="40000"/>
                  </a:schemeClr>
                </a:outerShdw>
              </a:effectLst>
            </c:spPr>
          </c:dPt>
          <c:cat>
            <c:numRef>
              <c:f>List1!$B$74:$G$74</c:f>
              <c:numCache>
                <c:formatCode>General</c:formatCode>
                <c:ptCount val="6"/>
                <c:pt idx="0">
                  <c:v>2008</c:v>
                </c:pt>
                <c:pt idx="1">
                  <c:v>2009</c:v>
                </c:pt>
                <c:pt idx="2">
                  <c:v>2010</c:v>
                </c:pt>
                <c:pt idx="3">
                  <c:v>2011</c:v>
                </c:pt>
                <c:pt idx="4">
                  <c:v>2012</c:v>
                </c:pt>
                <c:pt idx="5">
                  <c:v>2013</c:v>
                </c:pt>
              </c:numCache>
            </c:numRef>
          </c:cat>
          <c:val>
            <c:numRef>
              <c:f>List1!$B$77:$G$77</c:f>
              <c:numCache>
                <c:formatCode>General</c:formatCode>
                <c:ptCount val="6"/>
                <c:pt idx="0">
                  <c:v>22473</c:v>
                </c:pt>
                <c:pt idx="1">
                  <c:v>22632</c:v>
                </c:pt>
                <c:pt idx="2">
                  <c:v>22627</c:v>
                </c:pt>
                <c:pt idx="3">
                  <c:v>22586</c:v>
                </c:pt>
                <c:pt idx="4">
                  <c:v>22631</c:v>
                </c:pt>
                <c:pt idx="5">
                  <c:v>22584</c:v>
                </c:pt>
              </c:numCache>
            </c:numRef>
          </c:val>
        </c:ser>
        <c:gapWidth val="95"/>
        <c:gapDepth val="95"/>
        <c:shape val="box"/>
        <c:axId val="164705024"/>
        <c:axId val="164706560"/>
        <c:axId val="0"/>
      </c:bar3DChart>
      <c:catAx>
        <c:axId val="164705024"/>
        <c:scaling>
          <c:orientation val="minMax"/>
        </c:scaling>
        <c:axPos val="b"/>
        <c:numFmt formatCode="General" sourceLinked="1"/>
        <c:majorTickMark val="none"/>
        <c:tickLblPos val="nextTo"/>
        <c:crossAx val="164706560"/>
        <c:crosses val="autoZero"/>
        <c:auto val="1"/>
        <c:lblAlgn val="ctr"/>
        <c:lblOffset val="100"/>
      </c:catAx>
      <c:valAx>
        <c:axId val="164706560"/>
        <c:scaling>
          <c:orientation val="minMax"/>
        </c:scaling>
        <c:axPos val="l"/>
        <c:majorGridlines/>
        <c:numFmt formatCode="0%" sourceLinked="1"/>
        <c:majorTickMark val="none"/>
        <c:tickLblPos val="nextTo"/>
        <c:crossAx val="164705024"/>
        <c:crosses val="autoZero"/>
        <c:crossBetween val="between"/>
      </c:valAx>
      <c:dTable>
        <c:showHorzBorder val="1"/>
        <c:showVertBorder val="1"/>
        <c:showOutline val="1"/>
        <c:showKeys val="1"/>
      </c:dTable>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Dostupnost a kvalita zdravotní péče v obci je podle Vás vyhovující?</a:t>
            </a:r>
          </a:p>
        </c:rich>
      </c:tx>
      <c:spPr>
        <a:noFill/>
        <a:ln w="25400">
          <a:noFill/>
        </a:ln>
      </c:spPr>
    </c:title>
    <c:view3D>
      <c:rotX val="30"/>
      <c:perspective val="0"/>
    </c:view3D>
    <c:plotArea>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'4.1'!$A$2:$F$2</c:f>
              <c:strCache>
                <c:ptCount val="6"/>
                <c:pt idx="0">
                  <c:v>ano</c:v>
                </c:pt>
                <c:pt idx="1">
                  <c:v>spíše ano</c:v>
                </c:pt>
                <c:pt idx="2">
                  <c:v>spíše ne</c:v>
                </c:pt>
                <c:pt idx="3">
                  <c:v>ne</c:v>
                </c:pt>
                <c:pt idx="4">
                  <c:v>nevím</c:v>
                </c:pt>
                <c:pt idx="5">
                  <c:v>bez odpovědi</c:v>
                </c:pt>
              </c:strCache>
            </c:strRef>
          </c:cat>
          <c:val>
            <c:numRef>
              <c:f>'4.1'!$A$3:$F$3</c:f>
              <c:numCache>
                <c:formatCode>General</c:formatCode>
                <c:ptCount val="6"/>
                <c:pt idx="0">
                  <c:v>3</c:v>
                </c:pt>
                <c:pt idx="1">
                  <c:v>18</c:v>
                </c:pt>
                <c:pt idx="2">
                  <c:v>2</c:v>
                </c:pt>
                <c:pt idx="3">
                  <c:v>1</c:v>
                </c:pt>
              </c:numCache>
            </c:numRef>
          </c:val>
        </c:ser>
        <c:dLbls>
          <c:showPercent val="1"/>
        </c:dLbls>
      </c:pie3DChart>
      <c:spPr>
        <a:noFill/>
        <a:ln w="25400">
          <a:noFill/>
        </a:ln>
      </c:spPr>
    </c:plotArea>
    <c:legend>
      <c:legendPos val="r"/>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 Dostupnost a kvalita zdravotní péče v obci je podle Vás vyhovující?</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'1'!$A$2:$F$2</c:f>
              <c:strCache>
                <c:ptCount val="6"/>
                <c:pt idx="0">
                  <c:v>ano</c:v>
                </c:pt>
                <c:pt idx="1">
                  <c:v>spíše ano</c:v>
                </c:pt>
                <c:pt idx="2">
                  <c:v>spíše ne </c:v>
                </c:pt>
                <c:pt idx="3">
                  <c:v>ne</c:v>
                </c:pt>
                <c:pt idx="4">
                  <c:v>bez odpovědi</c:v>
                </c:pt>
                <c:pt idx="5">
                  <c:v>nevím</c:v>
                </c:pt>
              </c:strCache>
            </c:strRef>
          </c:cat>
          <c:val>
            <c:numRef>
              <c:f>'1'!$A$3:$F$3</c:f>
              <c:numCache>
                <c:formatCode>General</c:formatCode>
                <c:ptCount val="6"/>
                <c:pt idx="0">
                  <c:v>32</c:v>
                </c:pt>
                <c:pt idx="1">
                  <c:v>44</c:v>
                </c:pt>
                <c:pt idx="2">
                  <c:v>12</c:v>
                </c:pt>
                <c:pt idx="3">
                  <c:v>13</c:v>
                </c:pt>
                <c:pt idx="4">
                  <c:v>7</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Domovy pro seniory</a:t>
            </a:r>
          </a:p>
        </c:rich>
      </c:tx>
    </c:title>
    <c:view3D>
      <c:perspective val="30"/>
    </c:view3D>
    <c:plotArea>
      <c:layout/>
      <c:bar3DChart>
        <c:barDir val="col"/>
        <c:grouping val="clustered"/>
        <c:ser>
          <c:idx val="0"/>
          <c:order val="0"/>
          <c:tx>
            <c:strRef>
              <c:f>'domovy pro seniory'!$G$50</c:f>
              <c:strCache>
                <c:ptCount val="1"/>
                <c:pt idx="0">
                  <c:v>Počet lůžek</c:v>
                </c:pt>
              </c:strCache>
            </c:strRef>
          </c:tx>
          <c:cat>
            <c:numRef>
              <c:f>'domovy pro seniory'!$K$51:$O$51</c:f>
              <c:numCache>
                <c:formatCode>General</c:formatCode>
                <c:ptCount val="5"/>
                <c:pt idx="0">
                  <c:v>2009</c:v>
                </c:pt>
                <c:pt idx="1">
                  <c:v>2010</c:v>
                </c:pt>
                <c:pt idx="2">
                  <c:v>2011</c:v>
                </c:pt>
                <c:pt idx="3">
                  <c:v>2012</c:v>
                </c:pt>
                <c:pt idx="4">
                  <c:v>2013</c:v>
                </c:pt>
              </c:numCache>
            </c:numRef>
          </c:cat>
          <c:val>
            <c:numRef>
              <c:f>('domovy pro seniory'!$G$56;'domovy pro seniory'!$G$62;'domovy pro seniory'!$G$68;'domovy pro seniory'!$G$74;'domovy pro seniory'!$G$80)</c:f>
              <c:numCache>
                <c:formatCode>General</c:formatCode>
                <c:ptCount val="5"/>
                <c:pt idx="0">
                  <c:v>232</c:v>
                </c:pt>
                <c:pt idx="1">
                  <c:v>232</c:v>
                </c:pt>
                <c:pt idx="2">
                  <c:v>334</c:v>
                </c:pt>
                <c:pt idx="3">
                  <c:v>273</c:v>
                </c:pt>
                <c:pt idx="4">
                  <c:v>338</c:v>
                </c:pt>
              </c:numCache>
            </c:numRef>
          </c:val>
        </c:ser>
        <c:ser>
          <c:idx val="1"/>
          <c:order val="1"/>
          <c:tx>
            <c:strRef>
              <c:f>'domovy pro seniory'!$H$50</c:f>
              <c:strCache>
                <c:ptCount val="1"/>
                <c:pt idx="0">
                  <c:v>Počet uživatelů</c:v>
                </c:pt>
              </c:strCache>
            </c:strRef>
          </c:tx>
          <c:cat>
            <c:numRef>
              <c:f>'domovy pro seniory'!$K$51:$O$51</c:f>
              <c:numCache>
                <c:formatCode>General</c:formatCode>
                <c:ptCount val="5"/>
                <c:pt idx="0">
                  <c:v>2009</c:v>
                </c:pt>
                <c:pt idx="1">
                  <c:v>2010</c:v>
                </c:pt>
                <c:pt idx="2">
                  <c:v>2011</c:v>
                </c:pt>
                <c:pt idx="3">
                  <c:v>2012</c:v>
                </c:pt>
                <c:pt idx="4">
                  <c:v>2013</c:v>
                </c:pt>
              </c:numCache>
            </c:numRef>
          </c:cat>
          <c:val>
            <c:numRef>
              <c:f>('domovy pro seniory'!$H$56;'domovy pro seniory'!$H$62;'domovy pro seniory'!$H$68;'domovy pro seniory'!$H$74;'domovy pro seniory'!$H$80)</c:f>
              <c:numCache>
                <c:formatCode>General</c:formatCode>
                <c:ptCount val="5"/>
                <c:pt idx="0">
                  <c:v>261</c:v>
                </c:pt>
                <c:pt idx="1">
                  <c:v>278</c:v>
                </c:pt>
                <c:pt idx="2">
                  <c:v>390</c:v>
                </c:pt>
                <c:pt idx="3">
                  <c:v>393</c:v>
                </c:pt>
                <c:pt idx="4">
                  <c:v>401</c:v>
                </c:pt>
              </c:numCache>
            </c:numRef>
          </c:val>
        </c:ser>
        <c:ser>
          <c:idx val="2"/>
          <c:order val="2"/>
          <c:tx>
            <c:v>Počet žadatelů nad kapacitu</c:v>
          </c:tx>
          <c:cat>
            <c:numRef>
              <c:f>'domovy pro seniory'!$K$51:$O$51</c:f>
              <c:numCache>
                <c:formatCode>General</c:formatCode>
                <c:ptCount val="5"/>
                <c:pt idx="0">
                  <c:v>2009</c:v>
                </c:pt>
                <c:pt idx="1">
                  <c:v>2010</c:v>
                </c:pt>
                <c:pt idx="2">
                  <c:v>2011</c:v>
                </c:pt>
                <c:pt idx="3">
                  <c:v>2012</c:v>
                </c:pt>
                <c:pt idx="4">
                  <c:v>2013</c:v>
                </c:pt>
              </c:numCache>
            </c:numRef>
          </c:cat>
          <c:val>
            <c:numRef>
              <c:f>('domovy pro seniory'!$I$56;'domovy pro seniory'!$I$62;'domovy pro seniory'!$I$68;'domovy pro seniory'!$I$74;'domovy pro seniory'!$I$80)</c:f>
              <c:numCache>
                <c:formatCode>General</c:formatCode>
                <c:ptCount val="5"/>
                <c:pt idx="0">
                  <c:v>421</c:v>
                </c:pt>
                <c:pt idx="1">
                  <c:v>500</c:v>
                </c:pt>
                <c:pt idx="2">
                  <c:v>444</c:v>
                </c:pt>
                <c:pt idx="3">
                  <c:v>202</c:v>
                </c:pt>
                <c:pt idx="4">
                  <c:v>361</c:v>
                </c:pt>
              </c:numCache>
            </c:numRef>
          </c:val>
        </c:ser>
        <c:shape val="box"/>
        <c:axId val="171450752"/>
        <c:axId val="171452288"/>
        <c:axId val="0"/>
      </c:bar3DChart>
      <c:catAx>
        <c:axId val="171450752"/>
        <c:scaling>
          <c:orientation val="minMax"/>
        </c:scaling>
        <c:axPos val="b"/>
        <c:numFmt formatCode="General" sourceLinked="1"/>
        <c:majorTickMark val="none"/>
        <c:tickLblPos val="nextTo"/>
        <c:crossAx val="171452288"/>
        <c:crosses val="autoZero"/>
        <c:auto val="1"/>
        <c:lblAlgn val="ctr"/>
        <c:lblOffset val="100"/>
      </c:catAx>
      <c:valAx>
        <c:axId val="171452288"/>
        <c:scaling>
          <c:orientation val="minMax"/>
          <c:max val="550"/>
          <c:min val="150"/>
        </c:scaling>
        <c:axPos val="l"/>
        <c:majorGridlines/>
        <c:title>
          <c:tx>
            <c:rich>
              <a:bodyPr/>
              <a:lstStyle/>
              <a:p>
                <a:pPr>
                  <a:defRPr/>
                </a:pPr>
                <a:r>
                  <a:rPr lang="cs-CZ"/>
                  <a:t>Počet</a:t>
                </a:r>
                <a:r>
                  <a:rPr lang="cs-CZ" baseline="0"/>
                  <a:t> uživatelů/ žadatelů</a:t>
                </a:r>
                <a:endParaRPr lang="cs-CZ"/>
              </a:p>
            </c:rich>
          </c:tx>
        </c:title>
        <c:numFmt formatCode="General" sourceLinked="1"/>
        <c:majorTickMark val="none"/>
        <c:tickLblPos val="nextTo"/>
        <c:crossAx val="171450752"/>
        <c:crosses val="autoZero"/>
        <c:crossBetween val="between"/>
        <c:minorUnit val="20"/>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Nabídka  sociálních služeb v obci a jejím okolí je podle Vás dostačující?</a:t>
            </a:r>
          </a:p>
        </c:rich>
      </c:tx>
      <c:layout>
        <c:manualLayout>
          <c:xMode val="edge"/>
          <c:yMode val="edge"/>
          <c:x val="0.11756904477057772"/>
          <c:y val="1.6355120519363241E-2"/>
        </c:manualLayout>
      </c:layout>
      <c:spPr>
        <a:noFill/>
        <a:ln w="25400">
          <a:noFill/>
        </a:ln>
      </c:spPr>
    </c:title>
    <c:view3D>
      <c:rotX val="30"/>
      <c:perspective val="0"/>
    </c:view3D>
    <c:plotArea>
      <c:layout>
        <c:manualLayout>
          <c:layoutTarget val="inner"/>
          <c:xMode val="edge"/>
          <c:yMode val="edge"/>
          <c:x val="6.1754077283305633E-2"/>
          <c:y val="0.33136548668491878"/>
          <c:w val="0.59316604871553991"/>
          <c:h val="0.59153173155815331"/>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3"/>
              <c:delete val="1"/>
            </c:dLbl>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'4.3'!$A$2:$F$2</c:f>
              <c:strCache>
                <c:ptCount val="6"/>
                <c:pt idx="0">
                  <c:v>ano</c:v>
                </c:pt>
                <c:pt idx="1">
                  <c:v>spíše ano</c:v>
                </c:pt>
                <c:pt idx="2">
                  <c:v>spíše ne</c:v>
                </c:pt>
                <c:pt idx="3">
                  <c:v>ne</c:v>
                </c:pt>
                <c:pt idx="4">
                  <c:v>nevím</c:v>
                </c:pt>
                <c:pt idx="5">
                  <c:v>bez odpovědi</c:v>
                </c:pt>
              </c:strCache>
            </c:strRef>
          </c:cat>
          <c:val>
            <c:numRef>
              <c:f>'4.3'!$A$3:$F$3</c:f>
              <c:numCache>
                <c:formatCode>General</c:formatCode>
                <c:ptCount val="6"/>
                <c:pt idx="0">
                  <c:v>3</c:v>
                </c:pt>
                <c:pt idx="1">
                  <c:v>16</c:v>
                </c:pt>
                <c:pt idx="2">
                  <c:v>5</c:v>
                </c:pt>
              </c:numCache>
            </c:numRef>
          </c:val>
        </c:ser>
      </c:pie3DChart>
      <c:spPr>
        <a:noFill/>
        <a:ln w="25400">
          <a:noFill/>
        </a:ln>
      </c:spPr>
    </c:plotArea>
    <c:legend>
      <c:legendPos val="r"/>
      <c:layout>
        <c:manualLayout>
          <c:xMode val="edge"/>
          <c:yMode val="edge"/>
          <c:x val="0.67175165173320073"/>
          <c:y val="0.22389490376203044"/>
          <c:w val="0.323408815277408"/>
          <c:h val="0.77610509623797874"/>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Nabídka různých druhů sociální služeb je dostačující?</a:t>
            </a:r>
          </a:p>
        </c:rich>
      </c:tx>
    </c:title>
    <c:view3D>
      <c:rotX val="30"/>
      <c:perspective val="30"/>
    </c:view3D>
    <c:plotArea>
      <c:layout>
        <c:manualLayout>
          <c:layoutTarget val="inner"/>
          <c:xMode val="edge"/>
          <c:yMode val="edge"/>
          <c:x val="4.2486898440020834E-2"/>
          <c:y val="0.31679680664916887"/>
          <c:w val="0.60810735867319843"/>
          <c:h val="0.6154341644794401"/>
        </c:manualLayout>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'10'!$A$2:$F$2</c:f>
              <c:strCache>
                <c:ptCount val="6"/>
                <c:pt idx="0">
                  <c:v>ano</c:v>
                </c:pt>
                <c:pt idx="1">
                  <c:v>spíše ano</c:v>
                </c:pt>
                <c:pt idx="2">
                  <c:v>spíše ne</c:v>
                </c:pt>
                <c:pt idx="3">
                  <c:v>ne</c:v>
                </c:pt>
                <c:pt idx="4">
                  <c:v>bez odpovědi</c:v>
                </c:pt>
                <c:pt idx="5">
                  <c:v>nevím</c:v>
                </c:pt>
              </c:strCache>
            </c:strRef>
          </c:cat>
          <c:val>
            <c:numRef>
              <c:f>'10'!$A$3:$F$3</c:f>
              <c:numCache>
                <c:formatCode>General</c:formatCode>
                <c:ptCount val="6"/>
                <c:pt idx="0">
                  <c:v>23</c:v>
                </c:pt>
                <c:pt idx="1">
                  <c:v>42</c:v>
                </c:pt>
                <c:pt idx="2">
                  <c:v>22</c:v>
                </c:pt>
                <c:pt idx="3">
                  <c:v>10</c:v>
                </c:pt>
                <c:pt idx="4">
                  <c:v>12</c:v>
                </c:pt>
                <c:pt idx="5">
                  <c:v>0</c:v>
                </c:pt>
              </c:numCache>
            </c:numRef>
          </c:val>
        </c:ser>
        <c:dLbls>
          <c:showPercent val="1"/>
        </c:dLbls>
      </c:pie3DChart>
      <c:spPr>
        <a:noFill/>
        <a:ln w="25400">
          <a:noFill/>
        </a:ln>
      </c:spPr>
    </c:plotArea>
    <c:legend>
      <c:legendPos val="r"/>
      <c:layout>
        <c:manualLayout>
          <c:xMode val="edge"/>
          <c:yMode val="edge"/>
          <c:x val="0.67979211900838898"/>
          <c:y val="0.22316710411198601"/>
          <c:w val="0.29362980790192189"/>
          <c:h val="0.77491524496938491"/>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Jsou kulturní památky ve Vaší obci dostatečně udržovány?</a:t>
            </a:r>
          </a:p>
        </c:rich>
      </c:tx>
      <c:layout>
        <c:manualLayout>
          <c:xMode val="edge"/>
          <c:yMode val="edge"/>
          <c:x val="0.13619192276645697"/>
          <c:y val="2.7491362635314771E-2"/>
        </c:manualLayout>
      </c:layout>
      <c:spPr>
        <a:noFill/>
        <a:ln w="25400">
          <a:noFill/>
        </a:ln>
      </c:spPr>
    </c:title>
    <c:view3D>
      <c:rotX val="30"/>
      <c:perspective val="0"/>
    </c:view3D>
    <c:plotArea>
      <c:layout>
        <c:manualLayout>
          <c:layoutTarget val="inner"/>
          <c:xMode val="edge"/>
          <c:yMode val="edge"/>
          <c:x val="6.1928429836282314E-2"/>
          <c:y val="0.33183611729337992"/>
          <c:w val="0.56231979535769017"/>
          <c:h val="0.58225633309640057"/>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3"/>
              <c:layout>
                <c:manualLayout>
                  <c:x val="2.8547946658182881E-2"/>
                  <c:y val="8.246135899679298E-3"/>
                </c:manualLayout>
              </c:layout>
              <c:showPercent val="1"/>
            </c:dLbl>
            <c:dLbl>
              <c:idx val="4"/>
              <c:delete val="1"/>
            </c:dLbl>
            <c:dLbl>
              <c:idx val="5"/>
              <c:layout>
                <c:manualLayout>
                  <c:x val="5.2944493049479929E-2"/>
                  <c:y val="-6.6316710411199195E-3"/>
                </c:manualLayout>
              </c:layout>
              <c:showPercent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'4.16'!$A$2:$F$2</c:f>
              <c:strCache>
                <c:ptCount val="6"/>
                <c:pt idx="0">
                  <c:v>ano</c:v>
                </c:pt>
                <c:pt idx="1">
                  <c:v>spíše ano</c:v>
                </c:pt>
                <c:pt idx="2">
                  <c:v>spíše ne</c:v>
                </c:pt>
                <c:pt idx="3">
                  <c:v>ne</c:v>
                </c:pt>
                <c:pt idx="4">
                  <c:v>nevím</c:v>
                </c:pt>
                <c:pt idx="5">
                  <c:v>bez odpovědi</c:v>
                </c:pt>
              </c:strCache>
            </c:strRef>
          </c:cat>
          <c:val>
            <c:numRef>
              <c:f>'4.16'!$A$3:$F$3</c:f>
              <c:numCache>
                <c:formatCode>General</c:formatCode>
                <c:ptCount val="6"/>
                <c:pt idx="0">
                  <c:v>8</c:v>
                </c:pt>
                <c:pt idx="1">
                  <c:v>11</c:v>
                </c:pt>
                <c:pt idx="2">
                  <c:v>3</c:v>
                </c:pt>
                <c:pt idx="3">
                  <c:v>1</c:v>
                </c:pt>
                <c:pt idx="5">
                  <c:v>1</c:v>
                </c:pt>
              </c:numCache>
            </c:numRef>
          </c:val>
        </c:ser>
      </c:pie3DChart>
      <c:spPr>
        <a:noFill/>
        <a:ln w="25400">
          <a:noFill/>
        </a:ln>
      </c:spPr>
    </c:plotArea>
    <c:legend>
      <c:legendPos val="r"/>
      <c:layout>
        <c:manualLayout>
          <c:xMode val="edge"/>
          <c:yMode val="edge"/>
          <c:x val="0.69193527576729652"/>
          <c:y val="0.24656226305045337"/>
          <c:w val="0.28321464867396628"/>
          <c:h val="0.71706911636045989"/>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Jsou kulturní památky ve Vaší obci dostatečně udržovány?</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'19'!$A$2:$F$2</c:f>
              <c:strCache>
                <c:ptCount val="6"/>
                <c:pt idx="0">
                  <c:v>ano</c:v>
                </c:pt>
                <c:pt idx="1">
                  <c:v>spíše ano</c:v>
                </c:pt>
                <c:pt idx="2">
                  <c:v>spíše ne </c:v>
                </c:pt>
                <c:pt idx="3">
                  <c:v>ne</c:v>
                </c:pt>
                <c:pt idx="4">
                  <c:v>bez odpovědi</c:v>
                </c:pt>
                <c:pt idx="5">
                  <c:v>nevím</c:v>
                </c:pt>
              </c:strCache>
            </c:strRef>
          </c:cat>
          <c:val>
            <c:numRef>
              <c:f>'19'!$A$3:$F$3</c:f>
              <c:numCache>
                <c:formatCode>General</c:formatCode>
                <c:ptCount val="6"/>
                <c:pt idx="0">
                  <c:v>36</c:v>
                </c:pt>
                <c:pt idx="1">
                  <c:v>58</c:v>
                </c:pt>
                <c:pt idx="2">
                  <c:v>7</c:v>
                </c:pt>
                <c:pt idx="3">
                  <c:v>1</c:v>
                </c:pt>
                <c:pt idx="4">
                  <c:v>7</c:v>
                </c:pt>
                <c:pt idx="5">
                  <c:v>0</c:v>
                </c:pt>
              </c:numCache>
            </c:numRef>
          </c:val>
        </c:ser>
        <c:dLbls>
          <c:showPercent val="1"/>
        </c:dLbls>
      </c:pie3DChart>
      <c:spPr>
        <a:noFill/>
        <a:ln w="25400">
          <a:noFill/>
        </a:ln>
      </c:spPr>
    </c:plotArea>
    <c:legend>
      <c:legendPos val="r"/>
      <c:layout>
        <c:manualLayout>
          <c:xMode val="edge"/>
          <c:yMode val="edge"/>
          <c:x val="0.67765026027264985"/>
          <c:y val="0.24915602216389621"/>
          <c:w val="0.29559388688454358"/>
          <c:h val="0.70065033537474564"/>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a:t>Je kvalita pracovní síly v území pro Vás dostatečná a vyhovující?</a:t>
            </a:r>
          </a:p>
        </c:rich>
      </c:tx>
    </c:title>
    <c:view3D>
      <c:rotX val="30"/>
      <c:perspective val="30"/>
    </c:view3D>
    <c:plotArea>
      <c:layout/>
      <c:pie3DChart>
        <c:varyColors val="1"/>
        <c:ser>
          <c:idx val="0"/>
          <c:order val="0"/>
          <c:dLbls>
            <c:dLbl>
              <c:idx val="4"/>
              <c:delete val="1"/>
            </c:dLbl>
            <c:dLbl>
              <c:idx val="5"/>
              <c:layout>
                <c:manualLayout>
                  <c:x val="7.7022543899184323E-2"/>
                  <c:y val="-1.5481867583453483E-2"/>
                </c:manualLayout>
              </c:layout>
              <c:showPercent val="1"/>
            </c:dLbl>
            <c:showPercent val="1"/>
            <c:showLeaderLines val="1"/>
          </c:dLbls>
          <c:cat>
            <c:strRef>
              <c:f>'5'!$A$2:$F$2</c:f>
              <c:strCache>
                <c:ptCount val="6"/>
                <c:pt idx="0">
                  <c:v>ano</c:v>
                </c:pt>
                <c:pt idx="1">
                  <c:v>spíše ano</c:v>
                </c:pt>
                <c:pt idx="2">
                  <c:v>spíše ne</c:v>
                </c:pt>
                <c:pt idx="3">
                  <c:v>ne</c:v>
                </c:pt>
                <c:pt idx="4">
                  <c:v>nevím</c:v>
                </c:pt>
                <c:pt idx="5">
                  <c:v>bez odpovědi</c:v>
                </c:pt>
              </c:strCache>
            </c:strRef>
          </c:cat>
          <c:val>
            <c:numRef>
              <c:f>'5'!$A$3:$F$3</c:f>
              <c:numCache>
                <c:formatCode>General</c:formatCode>
                <c:ptCount val="6"/>
                <c:pt idx="0">
                  <c:v>3</c:v>
                </c:pt>
                <c:pt idx="1">
                  <c:v>14</c:v>
                </c:pt>
                <c:pt idx="2">
                  <c:v>5</c:v>
                </c:pt>
                <c:pt idx="3">
                  <c:v>2</c:v>
                </c:pt>
                <c:pt idx="5">
                  <c:v>5</c:v>
                </c:pt>
              </c:numCache>
            </c:numRef>
          </c:val>
        </c:ser>
        <c:dLbls>
          <c:showPercent val="1"/>
        </c:dLbls>
      </c:pie3DChart>
      <c:spPr>
        <a:noFill/>
        <a:ln w="25400">
          <a:noFill/>
        </a:ln>
      </c:spPr>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a:t>Je pro Vaše potřeby pracovní síla v území dostatečně kvalifikovaná? </a:t>
            </a:r>
          </a:p>
        </c:rich>
      </c:tx>
    </c:title>
    <c:view3D>
      <c:rotX val="30"/>
      <c:perspective val="30"/>
    </c:view3D>
    <c:plotArea>
      <c:layout/>
      <c:pie3DChart>
        <c:varyColors val="1"/>
        <c:ser>
          <c:idx val="0"/>
          <c:order val="0"/>
          <c:dLbls>
            <c:dLbl>
              <c:idx val="4"/>
              <c:delete val="1"/>
            </c:dLbl>
            <c:dLbl>
              <c:idx val="5"/>
              <c:layout>
                <c:manualLayout>
                  <c:x val="5.0086516963157392E-2"/>
                  <c:y val="-2.1741648491121982E-2"/>
                </c:manualLayout>
              </c:layout>
              <c:showPercent val="1"/>
            </c:dLbl>
            <c:showPercent val="1"/>
            <c:showLeaderLines val="1"/>
          </c:dLbls>
          <c:cat>
            <c:strRef>
              <c:f>'6'!$A$2:$F$2</c:f>
              <c:strCache>
                <c:ptCount val="6"/>
                <c:pt idx="0">
                  <c:v>ano</c:v>
                </c:pt>
                <c:pt idx="1">
                  <c:v>spíše ano</c:v>
                </c:pt>
                <c:pt idx="2">
                  <c:v>spíše ne</c:v>
                </c:pt>
                <c:pt idx="3">
                  <c:v>ne</c:v>
                </c:pt>
                <c:pt idx="4">
                  <c:v>nevím</c:v>
                </c:pt>
                <c:pt idx="5">
                  <c:v>bez odpovědi</c:v>
                </c:pt>
              </c:strCache>
            </c:strRef>
          </c:cat>
          <c:val>
            <c:numRef>
              <c:f>'6'!$A$3:$F$3</c:f>
              <c:numCache>
                <c:formatCode>General</c:formatCode>
                <c:ptCount val="6"/>
                <c:pt idx="0">
                  <c:v>4</c:v>
                </c:pt>
                <c:pt idx="1">
                  <c:v>13</c:v>
                </c:pt>
                <c:pt idx="2">
                  <c:v>4</c:v>
                </c:pt>
                <c:pt idx="3">
                  <c:v>3</c:v>
                </c:pt>
                <c:pt idx="5">
                  <c:v>5</c:v>
                </c:pt>
              </c:numCache>
            </c:numRef>
          </c:val>
        </c:ser>
        <c:dLbls>
          <c:showPercent val="1"/>
        </c:dLbls>
      </c:pie3DChart>
      <c:spPr>
        <a:noFill/>
        <a:ln w="25400">
          <a:noFill/>
        </a:ln>
      </c:spPr>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Jaké nedostatky má podle Vás pracovní síla v území? </a:t>
            </a:r>
          </a:p>
        </c:rich>
      </c:tx>
    </c:title>
    <c:view3D>
      <c:rotX val="30"/>
      <c:perspective val="30"/>
    </c:view3D>
    <c:plotArea>
      <c:layout/>
      <c:pie3DChart>
        <c:varyColors val="1"/>
        <c:ser>
          <c:idx val="0"/>
          <c:order val="0"/>
          <c:dLbls>
            <c:showPercent val="1"/>
            <c:showLeaderLines val="1"/>
          </c:dLbls>
          <c:cat>
            <c:strRef>
              <c:f>'7'!$A$2:$F$2</c:f>
              <c:strCache>
                <c:ptCount val="6"/>
                <c:pt idx="0">
                  <c:v>nedostatečná kvalifikace</c:v>
                </c:pt>
                <c:pt idx="1">
                  <c:v>nevyhovující druh kvalifikace</c:v>
                </c:pt>
                <c:pt idx="2">
                  <c:v>drahá pracovní síla</c:v>
                </c:pt>
                <c:pt idx="3">
                  <c:v>nepružná pracovní síla</c:v>
                </c:pt>
                <c:pt idx="4">
                  <c:v>nedostatek pracovních sil</c:v>
                </c:pt>
                <c:pt idx="5">
                  <c:v>nedostupnost pracovních sil</c:v>
                </c:pt>
              </c:strCache>
            </c:strRef>
          </c:cat>
          <c:val>
            <c:numRef>
              <c:f>'7'!$A$3:$F$3</c:f>
              <c:numCache>
                <c:formatCode>General</c:formatCode>
                <c:ptCount val="6"/>
                <c:pt idx="0">
                  <c:v>5</c:v>
                </c:pt>
                <c:pt idx="1">
                  <c:v>2</c:v>
                </c:pt>
                <c:pt idx="2">
                  <c:v>2</c:v>
                </c:pt>
                <c:pt idx="3">
                  <c:v>8</c:v>
                </c:pt>
                <c:pt idx="4">
                  <c:v>2</c:v>
                </c:pt>
                <c:pt idx="5">
                  <c:v>2</c:v>
                </c:pt>
              </c:numCache>
            </c:numRef>
          </c:val>
        </c:ser>
        <c:dLbls>
          <c:showPercent val="1"/>
        </c:dLbls>
      </c:pie3DChart>
      <c:spPr>
        <a:noFill/>
        <a:ln w="25400">
          <a:noFill/>
        </a:ln>
      </c:spPr>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Migrace v</a:t>
            </a:r>
            <a:r>
              <a:rPr lang="cs-CZ" baseline="0"/>
              <a:t> oblati</a:t>
            </a:r>
            <a:endParaRPr lang="cs-CZ"/>
          </a:p>
        </c:rich>
      </c:tx>
    </c:title>
    <c:plotArea>
      <c:layout/>
      <c:barChart>
        <c:barDir val="col"/>
        <c:grouping val="clustered"/>
        <c:ser>
          <c:idx val="0"/>
          <c:order val="0"/>
          <c:tx>
            <c:v>Přistěhovalí</c:v>
          </c:tx>
          <c:cat>
            <c:numRef>
              <c:f>List1!$AD$58:$AI$58</c:f>
              <c:numCache>
                <c:formatCode>General</c:formatCode>
                <c:ptCount val="6"/>
                <c:pt idx="0">
                  <c:v>2008</c:v>
                </c:pt>
                <c:pt idx="1">
                  <c:v>2009</c:v>
                </c:pt>
                <c:pt idx="2">
                  <c:v>2010</c:v>
                </c:pt>
                <c:pt idx="3">
                  <c:v>2011</c:v>
                </c:pt>
                <c:pt idx="4">
                  <c:v>2012</c:v>
                </c:pt>
                <c:pt idx="5">
                  <c:v>2013</c:v>
                </c:pt>
              </c:numCache>
            </c:numRef>
          </c:cat>
          <c:val>
            <c:numRef>
              <c:f>List1!$AD$60:$AI$60</c:f>
              <c:numCache>
                <c:formatCode>General</c:formatCode>
                <c:ptCount val="6"/>
                <c:pt idx="0">
                  <c:v>1180</c:v>
                </c:pt>
                <c:pt idx="1">
                  <c:v>1092</c:v>
                </c:pt>
                <c:pt idx="2">
                  <c:v>875</c:v>
                </c:pt>
                <c:pt idx="3">
                  <c:v>981</c:v>
                </c:pt>
                <c:pt idx="4">
                  <c:v>904</c:v>
                </c:pt>
                <c:pt idx="5">
                  <c:v>938</c:v>
                </c:pt>
              </c:numCache>
            </c:numRef>
          </c:val>
        </c:ser>
        <c:ser>
          <c:idx val="1"/>
          <c:order val="1"/>
          <c:tx>
            <c:v>Vystěhovalí</c:v>
          </c:tx>
          <c:cat>
            <c:numRef>
              <c:f>List1!$AD$58:$AI$58</c:f>
              <c:numCache>
                <c:formatCode>General</c:formatCode>
                <c:ptCount val="6"/>
                <c:pt idx="0">
                  <c:v>2008</c:v>
                </c:pt>
                <c:pt idx="1">
                  <c:v>2009</c:v>
                </c:pt>
                <c:pt idx="2">
                  <c:v>2010</c:v>
                </c:pt>
                <c:pt idx="3">
                  <c:v>2011</c:v>
                </c:pt>
                <c:pt idx="4">
                  <c:v>2012</c:v>
                </c:pt>
                <c:pt idx="5">
                  <c:v>2013</c:v>
                </c:pt>
              </c:numCache>
            </c:numRef>
          </c:cat>
          <c:val>
            <c:numRef>
              <c:f>List1!$AK$60:$AP$60</c:f>
              <c:numCache>
                <c:formatCode>General</c:formatCode>
                <c:ptCount val="6"/>
                <c:pt idx="0">
                  <c:v>964</c:v>
                </c:pt>
                <c:pt idx="1">
                  <c:v>935</c:v>
                </c:pt>
                <c:pt idx="2">
                  <c:v>936</c:v>
                </c:pt>
                <c:pt idx="3">
                  <c:v>963</c:v>
                </c:pt>
                <c:pt idx="4">
                  <c:v>957</c:v>
                </c:pt>
                <c:pt idx="5">
                  <c:v>1070</c:v>
                </c:pt>
              </c:numCache>
            </c:numRef>
          </c:val>
        </c:ser>
        <c:axId val="164737024"/>
        <c:axId val="164738560"/>
      </c:barChart>
      <c:catAx>
        <c:axId val="164737024"/>
        <c:scaling>
          <c:orientation val="minMax"/>
        </c:scaling>
        <c:axPos val="b"/>
        <c:numFmt formatCode="General" sourceLinked="1"/>
        <c:majorTickMark val="none"/>
        <c:tickLblPos val="nextTo"/>
        <c:crossAx val="164738560"/>
        <c:crosses val="autoZero"/>
        <c:auto val="1"/>
        <c:lblAlgn val="ctr"/>
        <c:lblOffset val="100"/>
      </c:catAx>
      <c:valAx>
        <c:axId val="164738560"/>
        <c:scaling>
          <c:orientation val="minMax"/>
        </c:scaling>
        <c:axPos val="l"/>
        <c:majorGridlines/>
        <c:numFmt formatCode="General" sourceLinked="1"/>
        <c:majorTickMark val="none"/>
        <c:tickLblPos val="nextTo"/>
        <c:crossAx val="164737024"/>
        <c:crosses val="autoZero"/>
        <c:crossBetween val="between"/>
      </c:valAx>
      <c:dTable>
        <c:showHorzBorder val="1"/>
        <c:showVertBorder val="1"/>
        <c:showOutline val="1"/>
        <c:showKeys val="1"/>
      </c:dTable>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600"/>
              <a:t>Které z uvedených faktorů mají největší vliv na současný a budoucí vývoj Vašich výrobků nebo poskytovaných služeb? </a:t>
            </a:r>
          </a:p>
        </c:rich>
      </c:tx>
    </c:title>
    <c:view3D>
      <c:rotX val="30"/>
      <c:perspective val="30"/>
    </c:view3D>
    <c:plotArea>
      <c:layout/>
      <c:pie3DChart>
        <c:varyColors val="1"/>
        <c:ser>
          <c:idx val="0"/>
          <c:order val="0"/>
          <c:dLbls>
            <c:dLbl>
              <c:idx val="2"/>
              <c:layout>
                <c:manualLayout>
                  <c:x val="2.9833099629670193E-2"/>
                  <c:y val="-0.17565811218042429"/>
                </c:manualLayout>
              </c:layout>
              <c:showPercent val="1"/>
            </c:dLbl>
            <c:showPercent val="1"/>
            <c:showLeaderLines val="1"/>
          </c:dLbls>
          <c:cat>
            <c:strRef>
              <c:f>'8'!$A$2:$I$2</c:f>
              <c:strCache>
                <c:ptCount val="9"/>
                <c:pt idx="0">
                  <c:v>ekonomická situace</c:v>
                </c:pt>
                <c:pt idx="1">
                  <c:v>konkurence</c:v>
                </c:pt>
                <c:pt idx="2">
                  <c:v>dostupnost pracovních síly</c:v>
                </c:pt>
                <c:pt idx="3">
                  <c:v>dostupnost financování, úvěru</c:v>
                </c:pt>
                <c:pt idx="4">
                  <c:v>nedostatečné prostorové kapacity</c:v>
                </c:pt>
                <c:pt idx="5">
                  <c:v>náklady na energii</c:v>
                </c:pt>
                <c:pt idx="6">
                  <c:v>náklady na materiál</c:v>
                </c:pt>
                <c:pt idx="7">
                  <c:v>legislativí překážky</c:v>
                </c:pt>
                <c:pt idx="8">
                  <c:v>dopravní dostupnost</c:v>
                </c:pt>
              </c:strCache>
            </c:strRef>
          </c:cat>
          <c:val>
            <c:numRef>
              <c:f>'8'!$A$3:$I$3</c:f>
              <c:numCache>
                <c:formatCode>General</c:formatCode>
                <c:ptCount val="9"/>
                <c:pt idx="0">
                  <c:v>19</c:v>
                </c:pt>
                <c:pt idx="1">
                  <c:v>9</c:v>
                </c:pt>
                <c:pt idx="2">
                  <c:v>1</c:v>
                </c:pt>
                <c:pt idx="3">
                  <c:v>3</c:v>
                </c:pt>
                <c:pt idx="4">
                  <c:v>3</c:v>
                </c:pt>
                <c:pt idx="5">
                  <c:v>8</c:v>
                </c:pt>
                <c:pt idx="6">
                  <c:v>2</c:v>
                </c:pt>
                <c:pt idx="7">
                  <c:v>6</c:v>
                </c:pt>
                <c:pt idx="8">
                  <c:v>1</c:v>
                </c:pt>
              </c:numCache>
            </c:numRef>
          </c:val>
        </c:ser>
        <c:dLbls>
          <c:showPercent val="1"/>
        </c:dLbls>
      </c:pie3DChart>
      <c:spPr>
        <a:noFill/>
        <a:ln w="25400">
          <a:noFill/>
        </a:ln>
      </c:spPr>
    </c:plotArea>
    <c:legend>
      <c:legendPos val="r"/>
    </c:legend>
    <c:plotVisOnly val="1"/>
    <c:dispBlanksAs val="zero"/>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Vyznačte Vaše potřeby, v jakých oblastech byste uvítali v budoucnu zlepšení? </a:t>
            </a:r>
          </a:p>
        </c:rich>
      </c:tx>
    </c:title>
    <c:view3D>
      <c:rotX val="30"/>
      <c:perspective val="30"/>
    </c:view3D>
    <c:plotArea>
      <c:layout/>
      <c:pie3DChart>
        <c:varyColors val="1"/>
        <c:ser>
          <c:idx val="0"/>
          <c:order val="0"/>
          <c:dLbls>
            <c:dLbl>
              <c:idx val="2"/>
              <c:delete val="1"/>
            </c:dLbl>
            <c:showPercent val="1"/>
            <c:showLeaderLines val="1"/>
          </c:dLbls>
          <c:cat>
            <c:strRef>
              <c:f>'9'!$A$2:$I$2</c:f>
              <c:strCache>
                <c:ptCount val="9"/>
                <c:pt idx="0">
                  <c:v>vybudování zázemí pro činnost</c:v>
                </c:pt>
                <c:pt idx="1">
                  <c:v>rozšíření zázemí </c:v>
                </c:pt>
                <c:pt idx="2">
                  <c:v>zázemí pro činnost jinou cestou</c:v>
                </c:pt>
                <c:pt idx="3">
                  <c:v>modernizace zázemí pro činnost</c:v>
                </c:pt>
                <c:pt idx="4">
                  <c:v>vybavení prostor firmy/NNO</c:v>
                </c:pt>
                <c:pt idx="5">
                  <c:v>technologické vybavení</c:v>
                </c:pt>
                <c:pt idx="6">
                  <c:v>rozšíření činnosti</c:v>
                </c:pt>
                <c:pt idx="7">
                  <c:v>vzdělávání zaměstnanců</c:v>
                </c:pt>
                <c:pt idx="8">
                  <c:v>silnější marketingová podpora</c:v>
                </c:pt>
              </c:strCache>
            </c:strRef>
          </c:cat>
          <c:val>
            <c:numRef>
              <c:f>'9'!$A$3:$I$3</c:f>
              <c:numCache>
                <c:formatCode>General</c:formatCode>
                <c:ptCount val="9"/>
                <c:pt idx="0">
                  <c:v>6</c:v>
                </c:pt>
                <c:pt idx="1">
                  <c:v>10</c:v>
                </c:pt>
                <c:pt idx="2">
                  <c:v>0</c:v>
                </c:pt>
                <c:pt idx="3">
                  <c:v>8</c:v>
                </c:pt>
                <c:pt idx="4">
                  <c:v>7</c:v>
                </c:pt>
                <c:pt idx="5">
                  <c:v>11</c:v>
                </c:pt>
                <c:pt idx="6">
                  <c:v>9</c:v>
                </c:pt>
                <c:pt idx="7">
                  <c:v>7</c:v>
                </c:pt>
                <c:pt idx="8">
                  <c:v>5</c:v>
                </c:pt>
              </c:numCache>
            </c:numRef>
          </c:val>
        </c:ser>
        <c:dLbls>
          <c:showPercent val="1"/>
        </c:dLbls>
      </c:pie3DChart>
      <c:spPr>
        <a:noFill/>
        <a:ln w="25400">
          <a:noFill/>
        </a:ln>
      </c:spPr>
    </c:plotArea>
    <c:legend>
      <c:legendPos val="r"/>
    </c:legend>
    <c:plotVisOnly val="1"/>
    <c:dispBlanksAs val="zero"/>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050"/>
              <a:t>Jste spokojeni se službami (nezbytné, podpůrné služby pro Vaší činnost) v místě působení ve vztahu k oblasti působení firmy/NNO?</a:t>
            </a:r>
          </a:p>
        </c:rich>
      </c:tx>
    </c:title>
    <c:view3D>
      <c:rotX val="30"/>
      <c:perspective val="30"/>
    </c:view3D>
    <c:plotArea>
      <c:layout/>
      <c:pie3DChart>
        <c:varyColors val="1"/>
        <c:ser>
          <c:idx val="0"/>
          <c:order val="0"/>
          <c:dLbls>
            <c:dLbl>
              <c:idx val="3"/>
              <c:layout>
                <c:manualLayout>
                  <c:x val="5.2048775153105874E-2"/>
                  <c:y val="-2.6516477107028291E-3"/>
                </c:manualLayout>
              </c:layout>
              <c:showPercent val="1"/>
            </c:dLbl>
            <c:dLbl>
              <c:idx val="5"/>
              <c:delete val="1"/>
            </c:dLbl>
            <c:showPercent val="1"/>
            <c:showLeaderLines val="1"/>
          </c:dLbls>
          <c:cat>
            <c:strRef>
              <c:f>'11'!$A$2:$F$2</c:f>
              <c:strCache>
                <c:ptCount val="6"/>
                <c:pt idx="0">
                  <c:v>ano</c:v>
                </c:pt>
                <c:pt idx="1">
                  <c:v>spíše ano</c:v>
                </c:pt>
                <c:pt idx="2">
                  <c:v>spíše ne</c:v>
                </c:pt>
                <c:pt idx="3">
                  <c:v>ne</c:v>
                </c:pt>
                <c:pt idx="4">
                  <c:v>nevím</c:v>
                </c:pt>
                <c:pt idx="5">
                  <c:v>bez odpovědi</c:v>
                </c:pt>
              </c:strCache>
            </c:strRef>
          </c:cat>
          <c:val>
            <c:numRef>
              <c:f>'11'!$A$3:$F$3</c:f>
              <c:numCache>
                <c:formatCode>General</c:formatCode>
                <c:ptCount val="6"/>
                <c:pt idx="0">
                  <c:v>6</c:v>
                </c:pt>
                <c:pt idx="1">
                  <c:v>12</c:v>
                </c:pt>
                <c:pt idx="2">
                  <c:v>3</c:v>
                </c:pt>
                <c:pt idx="3">
                  <c:v>2</c:v>
                </c:pt>
                <c:pt idx="4">
                  <c:v>6</c:v>
                </c:pt>
              </c:numCache>
            </c:numRef>
          </c:val>
        </c:ser>
        <c:dLbls>
          <c:showPercent val="1"/>
        </c:dLbls>
      </c:pie3DChart>
      <c:spPr>
        <a:noFill/>
        <a:ln w="25400">
          <a:noFill/>
        </a:ln>
      </c:spPr>
    </c:plotArea>
    <c:legend>
      <c:legendPos val="r"/>
    </c:legend>
    <c:plotVisOnly val="1"/>
    <c:dispBlanksAs val="zero"/>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lgn="ctr">
              <a:defRPr/>
            </a:pPr>
            <a:r>
              <a:rPr lang="cs-CZ" sz="1100"/>
              <a:t>Hodnotíte pozitivně přístup obce, ve které působíte, k Vaší firmě/organizaci?</a:t>
            </a:r>
          </a:p>
        </c:rich>
      </c:tx>
    </c:title>
    <c:view3D>
      <c:rotX val="30"/>
      <c:perspective val="30"/>
    </c:view3D>
    <c:plotArea>
      <c:layout/>
      <c:pie3DChart>
        <c:varyColors val="1"/>
        <c:ser>
          <c:idx val="0"/>
          <c:order val="0"/>
          <c:dLbls>
            <c:dLbl>
              <c:idx val="3"/>
              <c:layout>
                <c:manualLayout>
                  <c:x val="2.3525590551181103E-2"/>
                  <c:y val="-8.4849810440361627E-3"/>
                </c:manualLayout>
              </c:layout>
              <c:showPercent val="1"/>
            </c:dLbl>
            <c:dLbl>
              <c:idx val="4"/>
              <c:delete val="1"/>
            </c:dLbl>
            <c:showPercent val="1"/>
            <c:showLeaderLines val="1"/>
          </c:dLbls>
          <c:cat>
            <c:strRef>
              <c:f>'10'!$A$2:$F$2</c:f>
              <c:strCache>
                <c:ptCount val="6"/>
                <c:pt idx="0">
                  <c:v>ano</c:v>
                </c:pt>
                <c:pt idx="1">
                  <c:v>spíše ano</c:v>
                </c:pt>
                <c:pt idx="2">
                  <c:v>spíše ne</c:v>
                </c:pt>
                <c:pt idx="3">
                  <c:v>ne</c:v>
                </c:pt>
                <c:pt idx="4">
                  <c:v>nevím</c:v>
                </c:pt>
                <c:pt idx="5">
                  <c:v>bez odpovědi</c:v>
                </c:pt>
              </c:strCache>
            </c:strRef>
          </c:cat>
          <c:val>
            <c:numRef>
              <c:f>'10'!$A$3:$F$3</c:f>
              <c:numCache>
                <c:formatCode>General</c:formatCode>
                <c:ptCount val="6"/>
                <c:pt idx="0">
                  <c:v>15</c:v>
                </c:pt>
                <c:pt idx="1">
                  <c:v>9</c:v>
                </c:pt>
                <c:pt idx="2">
                  <c:v>1</c:v>
                </c:pt>
                <c:pt idx="3">
                  <c:v>3</c:v>
                </c:pt>
                <c:pt idx="5">
                  <c:v>1</c:v>
                </c:pt>
              </c:numCache>
            </c:numRef>
          </c:val>
        </c:ser>
        <c:dLbls>
          <c:showPercent val="1"/>
        </c:dLbls>
      </c:pie3DChart>
      <c:spPr>
        <a:noFill/>
        <a:ln w="25400">
          <a:noFill/>
        </a:ln>
      </c:spPr>
    </c:plotArea>
    <c:legend>
      <c:legendPos val="r"/>
      <c:layout>
        <c:manualLayout>
          <c:xMode val="edge"/>
          <c:yMode val="edge"/>
          <c:x val="0.67672547711198194"/>
          <c:y val="0.30463479357897982"/>
          <c:w val="0.31875474887672939"/>
          <c:h val="0.64332709792491405"/>
        </c:manualLayout>
      </c:layout>
    </c:legend>
    <c:plotVisOnly val="1"/>
    <c:dispBlanksAs val="zero"/>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100"/>
              <a:t>Jste informování o dění v obci a jejich aktivitách dostatečně? </a:t>
            </a:r>
          </a:p>
        </c:rich>
      </c:tx>
    </c:title>
    <c:view3D>
      <c:rotX val="30"/>
      <c:perspective val="30"/>
    </c:view3D>
    <c:plotArea>
      <c:layout/>
      <c:pie3DChart>
        <c:varyColors val="1"/>
        <c:ser>
          <c:idx val="0"/>
          <c:order val="0"/>
          <c:dLbls>
            <c:dLbl>
              <c:idx val="3"/>
              <c:delete val="1"/>
            </c:dLbl>
            <c:dLbl>
              <c:idx val="4"/>
              <c:delete val="1"/>
            </c:dLbl>
            <c:dLbl>
              <c:idx val="5"/>
              <c:delete val="1"/>
            </c:dLbl>
            <c:showPercent val="1"/>
            <c:showLeaderLines val="1"/>
          </c:dLbls>
          <c:cat>
            <c:strRef>
              <c:f>'12'!$A$2:$F$2</c:f>
              <c:strCache>
                <c:ptCount val="6"/>
                <c:pt idx="0">
                  <c:v>ano</c:v>
                </c:pt>
                <c:pt idx="1">
                  <c:v>spíše ano</c:v>
                </c:pt>
                <c:pt idx="2">
                  <c:v>spíše ne</c:v>
                </c:pt>
                <c:pt idx="3">
                  <c:v>ne</c:v>
                </c:pt>
                <c:pt idx="4">
                  <c:v>nevím</c:v>
                </c:pt>
                <c:pt idx="5">
                  <c:v>bez odpovědi</c:v>
                </c:pt>
              </c:strCache>
            </c:strRef>
          </c:cat>
          <c:val>
            <c:numRef>
              <c:f>'12'!$A$3:$F$3</c:f>
              <c:numCache>
                <c:formatCode>General</c:formatCode>
                <c:ptCount val="6"/>
                <c:pt idx="0">
                  <c:v>16</c:v>
                </c:pt>
                <c:pt idx="1">
                  <c:v>12</c:v>
                </c:pt>
                <c:pt idx="2">
                  <c:v>1</c:v>
                </c:pt>
                <c:pt idx="3">
                  <c:v>0</c:v>
                </c:pt>
              </c:numCache>
            </c:numRef>
          </c:val>
        </c:ser>
        <c:dLbls>
          <c:showPercent val="1"/>
        </c:dLbls>
      </c:pie3DChart>
      <c:spPr>
        <a:noFill/>
        <a:ln w="25400">
          <a:noFill/>
        </a:ln>
      </c:spPr>
    </c:plotArea>
    <c:legend>
      <c:legendPos val="r"/>
      <c:layout>
        <c:manualLayout>
          <c:xMode val="edge"/>
          <c:yMode val="edge"/>
          <c:x val="0.65079059374335435"/>
          <c:y val="0.25486347355751832"/>
          <c:w val="0.32218237922962967"/>
          <c:h val="0.7102362204724405"/>
        </c:manualLayout>
      </c:layout>
    </c:legend>
    <c:plotVisOnly val="1"/>
    <c:dispBlanksAs val="zero"/>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Jaké typy aktivit a způsoby podpory Vaší činnosti považujete od obce za důležité?</a:t>
            </a:r>
          </a:p>
        </c:rich>
      </c:tx>
    </c:title>
    <c:view3D>
      <c:rotX val="30"/>
      <c:perspective val="30"/>
    </c:view3D>
    <c:plotArea>
      <c:layout>
        <c:manualLayout>
          <c:layoutTarget val="inner"/>
          <c:xMode val="edge"/>
          <c:yMode val="edge"/>
          <c:x val="2.6852749878081592E-2"/>
          <c:y val="0.30031509986981819"/>
          <c:w val="0.58192559959232648"/>
          <c:h val="0.6431365177496049"/>
        </c:manualLayout>
      </c:layout>
      <c:pie3DChart>
        <c:varyColors val="1"/>
        <c:ser>
          <c:idx val="0"/>
          <c:order val="0"/>
          <c:dLbls>
            <c:dLbl>
              <c:idx val="1"/>
              <c:layout>
                <c:manualLayout>
                  <c:x val="-5.997687658562513E-2"/>
                  <c:y val="-8.8525936910408193E-2"/>
                </c:manualLayout>
              </c:layout>
              <c:showPercent val="1"/>
            </c:dLbl>
            <c:showPercent val="1"/>
            <c:showLeaderLines val="1"/>
          </c:dLbls>
          <c:cat>
            <c:strRef>
              <c:f>'13'!$A$2:$G$2</c:f>
              <c:strCache>
                <c:ptCount val="7"/>
                <c:pt idx="0">
                  <c:v>propagace</c:v>
                </c:pt>
                <c:pt idx="1">
                  <c:v>pozemky pro podnikání</c:v>
                </c:pt>
                <c:pt idx="2">
                  <c:v>výhodný pronájem prostor</c:v>
                </c:pt>
                <c:pt idx="3">
                  <c:v>účast na plánování v obci</c:v>
                </c:pt>
                <c:pt idx="4">
                  <c:v>dopravní obslužnost</c:v>
                </c:pt>
                <c:pt idx="5">
                  <c:v>dotace, granty</c:v>
                </c:pt>
                <c:pt idx="6">
                  <c:v>vzdělávací kurzy</c:v>
                </c:pt>
              </c:strCache>
            </c:strRef>
          </c:cat>
          <c:val>
            <c:numRef>
              <c:f>'13'!$A$3:$G$3</c:f>
              <c:numCache>
                <c:formatCode>General</c:formatCode>
                <c:ptCount val="7"/>
                <c:pt idx="0">
                  <c:v>14</c:v>
                </c:pt>
                <c:pt idx="1">
                  <c:v>2</c:v>
                </c:pt>
                <c:pt idx="2">
                  <c:v>4</c:v>
                </c:pt>
                <c:pt idx="3">
                  <c:v>7</c:v>
                </c:pt>
                <c:pt idx="4">
                  <c:v>10</c:v>
                </c:pt>
                <c:pt idx="5">
                  <c:v>11</c:v>
                </c:pt>
                <c:pt idx="6">
                  <c:v>4</c:v>
                </c:pt>
              </c:numCache>
            </c:numRef>
          </c:val>
        </c:ser>
        <c:dLbls>
          <c:showPercent val="1"/>
        </c:dLbls>
      </c:pie3DChart>
      <c:spPr>
        <a:noFill/>
        <a:ln w="25400">
          <a:noFill/>
        </a:ln>
      </c:spPr>
    </c:plotArea>
    <c:legend>
      <c:legendPos val="r"/>
      <c:layout>
        <c:manualLayout>
          <c:xMode val="edge"/>
          <c:yMode val="edge"/>
          <c:x val="0.63006394555586609"/>
          <c:y val="0.31243147656941106"/>
          <c:w val="0.36715247754782765"/>
          <c:h val="0.64012364502182584"/>
        </c:manualLayout>
      </c:layout>
    </c:legend>
    <c:plotVisOnly val="1"/>
    <c:dispBlanksAs val="zero"/>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Čerpali jste v minulosti dotace na Vaše aktivity?</a:t>
            </a:r>
          </a:p>
        </c:rich>
      </c:tx>
    </c:title>
    <c:view3D>
      <c:rAngAx val="1"/>
    </c:view3D>
    <c:plotArea>
      <c:layout/>
      <c:bar3DChart>
        <c:barDir val="col"/>
        <c:grouping val="percentStacked"/>
        <c:ser>
          <c:idx val="0"/>
          <c:order val="0"/>
          <c:tx>
            <c:strRef>
              <c:f>'17'!$B$6</c:f>
              <c:strCache>
                <c:ptCount val="1"/>
                <c:pt idx="0">
                  <c:v>ano</c:v>
                </c:pt>
              </c:strCache>
            </c:strRef>
          </c:tx>
          <c:cat>
            <c:strRef>
              <c:f>'17'!$A$7:$A$8</c:f>
              <c:strCache>
                <c:ptCount val="2"/>
                <c:pt idx="0">
                  <c:v>firmy</c:v>
                </c:pt>
                <c:pt idx="1">
                  <c:v>neziskovky</c:v>
                </c:pt>
              </c:strCache>
            </c:strRef>
          </c:cat>
          <c:val>
            <c:numRef>
              <c:f>'17'!$B$7:$B$8</c:f>
              <c:numCache>
                <c:formatCode>General</c:formatCode>
                <c:ptCount val="2"/>
                <c:pt idx="0">
                  <c:v>6</c:v>
                </c:pt>
                <c:pt idx="1">
                  <c:v>5</c:v>
                </c:pt>
              </c:numCache>
            </c:numRef>
          </c:val>
        </c:ser>
        <c:ser>
          <c:idx val="1"/>
          <c:order val="1"/>
          <c:tx>
            <c:strRef>
              <c:f>'17'!$C$6</c:f>
              <c:strCache>
                <c:ptCount val="1"/>
                <c:pt idx="0">
                  <c:v>ne</c:v>
                </c:pt>
              </c:strCache>
            </c:strRef>
          </c:tx>
          <c:cat>
            <c:strRef>
              <c:f>'17'!$A$7:$A$8</c:f>
              <c:strCache>
                <c:ptCount val="2"/>
                <c:pt idx="0">
                  <c:v>firmy</c:v>
                </c:pt>
                <c:pt idx="1">
                  <c:v>neziskovky</c:v>
                </c:pt>
              </c:strCache>
            </c:strRef>
          </c:cat>
          <c:val>
            <c:numRef>
              <c:f>'17'!$C$7:$C$8</c:f>
              <c:numCache>
                <c:formatCode>General</c:formatCode>
                <c:ptCount val="2"/>
                <c:pt idx="0">
                  <c:v>16</c:v>
                </c:pt>
                <c:pt idx="1">
                  <c:v>2</c:v>
                </c:pt>
              </c:numCache>
            </c:numRef>
          </c:val>
        </c:ser>
        <c:gapWidth val="55"/>
        <c:gapDepth val="55"/>
        <c:shape val="box"/>
        <c:axId val="171997824"/>
        <c:axId val="178061696"/>
        <c:axId val="0"/>
      </c:bar3DChart>
      <c:catAx>
        <c:axId val="171997824"/>
        <c:scaling>
          <c:orientation val="minMax"/>
        </c:scaling>
        <c:axPos val="b"/>
        <c:majorTickMark val="none"/>
        <c:tickLblPos val="nextTo"/>
        <c:crossAx val="178061696"/>
        <c:crosses val="autoZero"/>
        <c:auto val="1"/>
        <c:lblAlgn val="ctr"/>
        <c:lblOffset val="100"/>
      </c:catAx>
      <c:valAx>
        <c:axId val="178061696"/>
        <c:scaling>
          <c:orientation val="minMax"/>
        </c:scaling>
        <c:axPos val="l"/>
        <c:majorGridlines/>
        <c:numFmt formatCode="0%" sourceLinked="1"/>
        <c:majorTickMark val="none"/>
        <c:tickLblPos val="nextTo"/>
        <c:crossAx val="171997824"/>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Kolik jste dosud realizovali projektů financovaných z fondů EU?</a:t>
            </a:r>
          </a:p>
        </c:rich>
      </c:tx>
    </c:title>
    <c:view3D>
      <c:rAngAx val="1"/>
    </c:view3D>
    <c:plotArea>
      <c:layout/>
      <c:bar3DChart>
        <c:barDir val="col"/>
        <c:grouping val="percentStacked"/>
        <c:ser>
          <c:idx val="0"/>
          <c:order val="0"/>
          <c:tx>
            <c:strRef>
              <c:f>'18'!$B$6</c:f>
              <c:strCache>
                <c:ptCount val="1"/>
                <c:pt idx="0">
                  <c:v>žádné</c:v>
                </c:pt>
              </c:strCache>
            </c:strRef>
          </c:tx>
          <c:cat>
            <c:strRef>
              <c:f>'18'!$A$7:$A$8</c:f>
              <c:strCache>
                <c:ptCount val="2"/>
                <c:pt idx="0">
                  <c:v>firmy</c:v>
                </c:pt>
                <c:pt idx="1">
                  <c:v>neziskovky</c:v>
                </c:pt>
              </c:strCache>
            </c:strRef>
          </c:cat>
          <c:val>
            <c:numRef>
              <c:f>'18'!$B$7:$B$8</c:f>
              <c:numCache>
                <c:formatCode>General</c:formatCode>
                <c:ptCount val="2"/>
                <c:pt idx="0">
                  <c:v>16</c:v>
                </c:pt>
                <c:pt idx="1">
                  <c:v>3</c:v>
                </c:pt>
              </c:numCache>
            </c:numRef>
          </c:val>
        </c:ser>
        <c:ser>
          <c:idx val="1"/>
          <c:order val="1"/>
          <c:tx>
            <c:strRef>
              <c:f>'18'!$C$6</c:f>
              <c:strCache>
                <c:ptCount val="1"/>
                <c:pt idx="0">
                  <c:v>1-5</c:v>
                </c:pt>
              </c:strCache>
            </c:strRef>
          </c:tx>
          <c:cat>
            <c:strRef>
              <c:f>'18'!$A$7:$A$8</c:f>
              <c:strCache>
                <c:ptCount val="2"/>
                <c:pt idx="0">
                  <c:v>firmy</c:v>
                </c:pt>
                <c:pt idx="1">
                  <c:v>neziskovky</c:v>
                </c:pt>
              </c:strCache>
            </c:strRef>
          </c:cat>
          <c:val>
            <c:numRef>
              <c:f>'18'!$C$7:$C$8</c:f>
              <c:numCache>
                <c:formatCode>General</c:formatCode>
                <c:ptCount val="2"/>
                <c:pt idx="0">
                  <c:v>4</c:v>
                </c:pt>
                <c:pt idx="1">
                  <c:v>4</c:v>
                </c:pt>
              </c:numCache>
            </c:numRef>
          </c:val>
        </c:ser>
        <c:ser>
          <c:idx val="2"/>
          <c:order val="2"/>
          <c:tx>
            <c:strRef>
              <c:f>'18'!$D$6</c:f>
              <c:strCache>
                <c:ptCount val="1"/>
                <c:pt idx="0">
                  <c:v>6-10</c:v>
                </c:pt>
              </c:strCache>
            </c:strRef>
          </c:tx>
          <c:cat>
            <c:strRef>
              <c:f>'18'!$A$7:$A$8</c:f>
              <c:strCache>
                <c:ptCount val="2"/>
                <c:pt idx="0">
                  <c:v>firmy</c:v>
                </c:pt>
                <c:pt idx="1">
                  <c:v>neziskovky</c:v>
                </c:pt>
              </c:strCache>
            </c:strRef>
          </c:cat>
          <c:val>
            <c:numRef>
              <c:f>'18'!$D$7:$D$8</c:f>
              <c:numCache>
                <c:formatCode>General</c:formatCode>
                <c:ptCount val="2"/>
                <c:pt idx="0">
                  <c:v>1</c:v>
                </c:pt>
              </c:numCache>
            </c:numRef>
          </c:val>
        </c:ser>
        <c:ser>
          <c:idx val="3"/>
          <c:order val="3"/>
          <c:tx>
            <c:strRef>
              <c:f>'18'!$E$6</c:f>
              <c:strCache>
                <c:ptCount val="1"/>
                <c:pt idx="0">
                  <c:v>více než 10</c:v>
                </c:pt>
              </c:strCache>
            </c:strRef>
          </c:tx>
          <c:cat>
            <c:strRef>
              <c:f>'18'!$A$7:$A$8</c:f>
              <c:strCache>
                <c:ptCount val="2"/>
                <c:pt idx="0">
                  <c:v>firmy</c:v>
                </c:pt>
                <c:pt idx="1">
                  <c:v>neziskovky</c:v>
                </c:pt>
              </c:strCache>
            </c:strRef>
          </c:cat>
          <c:val>
            <c:numRef>
              <c:f>'18'!$E$7:$E$8</c:f>
              <c:numCache>
                <c:formatCode>General</c:formatCode>
                <c:ptCount val="2"/>
                <c:pt idx="0">
                  <c:v>1</c:v>
                </c:pt>
              </c:numCache>
            </c:numRef>
          </c:val>
        </c:ser>
        <c:gapWidth val="55"/>
        <c:gapDepth val="55"/>
        <c:shape val="box"/>
        <c:axId val="178109056"/>
        <c:axId val="178127232"/>
        <c:axId val="0"/>
      </c:bar3DChart>
      <c:catAx>
        <c:axId val="178109056"/>
        <c:scaling>
          <c:orientation val="minMax"/>
        </c:scaling>
        <c:axPos val="b"/>
        <c:majorTickMark val="none"/>
        <c:tickLblPos val="nextTo"/>
        <c:crossAx val="178127232"/>
        <c:crosses val="autoZero"/>
        <c:auto val="1"/>
        <c:lblAlgn val="ctr"/>
        <c:lblOffset val="100"/>
      </c:catAx>
      <c:valAx>
        <c:axId val="178127232"/>
        <c:scaling>
          <c:orientation val="minMax"/>
        </c:scaling>
        <c:axPos val="l"/>
        <c:majorGridlines/>
        <c:numFmt formatCode="0%" sourceLinked="1"/>
        <c:majorTickMark val="none"/>
        <c:tickLblPos val="nextTo"/>
        <c:crossAx val="178109056"/>
        <c:crosses val="autoZero"/>
        <c:crossBetween val="between"/>
      </c:val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cs-CZ"/>
  <c:chart>
    <c:title>
      <c:tx>
        <c:rich>
          <a:bodyPr/>
          <a:lstStyle/>
          <a:p>
            <a:pPr>
              <a:defRPr/>
            </a:pPr>
            <a:r>
              <a:rPr lang="cs-CZ" sz="1200"/>
              <a:t>Je pro Vás administrativně náročné získat dotaci z programů EU nebo z jiných dotačních programů?</a:t>
            </a:r>
          </a:p>
        </c:rich>
      </c:tx>
      <c:layout>
        <c:manualLayout>
          <c:xMode val="edge"/>
          <c:yMode val="edge"/>
          <c:x val="0.13691666666666671"/>
          <c:y val="2.7777777777778258E-2"/>
        </c:manualLayout>
      </c:layout>
    </c:title>
    <c:view3D>
      <c:rAngAx val="1"/>
    </c:view3D>
    <c:plotArea>
      <c:layout/>
      <c:bar3DChart>
        <c:barDir val="col"/>
        <c:grouping val="percentStacked"/>
        <c:ser>
          <c:idx val="0"/>
          <c:order val="0"/>
          <c:tx>
            <c:strRef>
              <c:f>'19'!$B$6</c:f>
              <c:strCache>
                <c:ptCount val="1"/>
                <c:pt idx="0">
                  <c:v>ano</c:v>
                </c:pt>
              </c:strCache>
            </c:strRef>
          </c:tx>
          <c:cat>
            <c:strRef>
              <c:f>'19'!$A$7:$A$8</c:f>
              <c:strCache>
                <c:ptCount val="2"/>
                <c:pt idx="0">
                  <c:v>firmy</c:v>
                </c:pt>
                <c:pt idx="1">
                  <c:v>neziskovky</c:v>
                </c:pt>
              </c:strCache>
            </c:strRef>
          </c:cat>
          <c:val>
            <c:numRef>
              <c:f>'19'!$B$7:$B$8</c:f>
              <c:numCache>
                <c:formatCode>General</c:formatCode>
                <c:ptCount val="2"/>
                <c:pt idx="0">
                  <c:v>10</c:v>
                </c:pt>
                <c:pt idx="1">
                  <c:v>3</c:v>
                </c:pt>
              </c:numCache>
            </c:numRef>
          </c:val>
        </c:ser>
        <c:ser>
          <c:idx val="1"/>
          <c:order val="1"/>
          <c:tx>
            <c:strRef>
              <c:f>'19'!$C$6</c:f>
              <c:strCache>
                <c:ptCount val="1"/>
                <c:pt idx="0">
                  <c:v>spíše ano</c:v>
                </c:pt>
              </c:strCache>
            </c:strRef>
          </c:tx>
          <c:cat>
            <c:strRef>
              <c:f>'19'!$A$7:$A$8</c:f>
              <c:strCache>
                <c:ptCount val="2"/>
                <c:pt idx="0">
                  <c:v>firmy</c:v>
                </c:pt>
                <c:pt idx="1">
                  <c:v>neziskovky</c:v>
                </c:pt>
              </c:strCache>
            </c:strRef>
          </c:cat>
          <c:val>
            <c:numRef>
              <c:f>'19'!$C$7:$C$8</c:f>
              <c:numCache>
                <c:formatCode>General</c:formatCode>
                <c:ptCount val="2"/>
                <c:pt idx="0">
                  <c:v>7</c:v>
                </c:pt>
                <c:pt idx="1">
                  <c:v>3</c:v>
                </c:pt>
              </c:numCache>
            </c:numRef>
          </c:val>
        </c:ser>
        <c:ser>
          <c:idx val="2"/>
          <c:order val="2"/>
          <c:tx>
            <c:strRef>
              <c:f>'19'!$D$6</c:f>
              <c:strCache>
                <c:ptCount val="1"/>
                <c:pt idx="0">
                  <c:v>spíše ne</c:v>
                </c:pt>
              </c:strCache>
            </c:strRef>
          </c:tx>
          <c:cat>
            <c:strRef>
              <c:f>'19'!$A$7:$A$8</c:f>
              <c:strCache>
                <c:ptCount val="2"/>
                <c:pt idx="0">
                  <c:v>firmy</c:v>
                </c:pt>
                <c:pt idx="1">
                  <c:v>neziskovky</c:v>
                </c:pt>
              </c:strCache>
            </c:strRef>
          </c:cat>
          <c:val>
            <c:numRef>
              <c:f>'19'!$D$7:$D$8</c:f>
              <c:numCache>
                <c:formatCode>General</c:formatCode>
                <c:ptCount val="2"/>
                <c:pt idx="0">
                  <c:v>2</c:v>
                </c:pt>
                <c:pt idx="1">
                  <c:v>1</c:v>
                </c:pt>
              </c:numCache>
            </c:numRef>
          </c:val>
        </c:ser>
        <c:ser>
          <c:idx val="3"/>
          <c:order val="3"/>
          <c:tx>
            <c:strRef>
              <c:f>'19'!$E$6</c:f>
              <c:strCache>
                <c:ptCount val="1"/>
                <c:pt idx="0">
                  <c:v>ne</c:v>
                </c:pt>
              </c:strCache>
            </c:strRef>
          </c:tx>
          <c:cat>
            <c:strRef>
              <c:f>'19'!$A$7:$A$8</c:f>
              <c:strCache>
                <c:ptCount val="2"/>
                <c:pt idx="0">
                  <c:v>firmy</c:v>
                </c:pt>
                <c:pt idx="1">
                  <c:v>neziskovky</c:v>
                </c:pt>
              </c:strCache>
            </c:strRef>
          </c:cat>
          <c:val>
            <c:numRef>
              <c:f>'19'!$E$7:$E$8</c:f>
              <c:numCache>
                <c:formatCode>General</c:formatCode>
                <c:ptCount val="2"/>
                <c:pt idx="0">
                  <c:v>0</c:v>
                </c:pt>
              </c:numCache>
            </c:numRef>
          </c:val>
        </c:ser>
        <c:ser>
          <c:idx val="4"/>
          <c:order val="4"/>
          <c:tx>
            <c:strRef>
              <c:f>'19'!$F$6</c:f>
              <c:strCache>
                <c:ptCount val="1"/>
                <c:pt idx="0">
                  <c:v>nevím</c:v>
                </c:pt>
              </c:strCache>
            </c:strRef>
          </c:tx>
          <c:cat>
            <c:strRef>
              <c:f>'19'!$A$7:$A$8</c:f>
              <c:strCache>
                <c:ptCount val="2"/>
                <c:pt idx="0">
                  <c:v>firmy</c:v>
                </c:pt>
                <c:pt idx="1">
                  <c:v>neziskovky</c:v>
                </c:pt>
              </c:strCache>
            </c:strRef>
          </c:cat>
          <c:val>
            <c:numRef>
              <c:f>'19'!$F$7:$F$8</c:f>
              <c:numCache>
                <c:formatCode>General</c:formatCode>
                <c:ptCount val="2"/>
                <c:pt idx="0">
                  <c:v>1</c:v>
                </c:pt>
              </c:numCache>
            </c:numRef>
          </c:val>
        </c:ser>
        <c:ser>
          <c:idx val="5"/>
          <c:order val="5"/>
          <c:tx>
            <c:strRef>
              <c:f>'19'!$G$6</c:f>
              <c:strCache>
                <c:ptCount val="1"/>
                <c:pt idx="0">
                  <c:v>bez odpovědi</c:v>
                </c:pt>
              </c:strCache>
            </c:strRef>
          </c:tx>
          <c:cat>
            <c:strRef>
              <c:f>'19'!$A$7:$A$8</c:f>
              <c:strCache>
                <c:ptCount val="2"/>
                <c:pt idx="0">
                  <c:v>firmy</c:v>
                </c:pt>
                <c:pt idx="1">
                  <c:v>neziskovky</c:v>
                </c:pt>
              </c:strCache>
            </c:strRef>
          </c:cat>
          <c:val>
            <c:numRef>
              <c:f>'19'!$G$7:$G$8</c:f>
              <c:numCache>
                <c:formatCode>General</c:formatCode>
                <c:ptCount val="2"/>
                <c:pt idx="0">
                  <c:v>2</c:v>
                </c:pt>
              </c:numCache>
            </c:numRef>
          </c:val>
        </c:ser>
        <c:gapWidth val="55"/>
        <c:gapDepth val="55"/>
        <c:shape val="box"/>
        <c:axId val="178168192"/>
        <c:axId val="178169728"/>
        <c:axId val="0"/>
      </c:bar3DChart>
      <c:catAx>
        <c:axId val="178168192"/>
        <c:scaling>
          <c:orientation val="minMax"/>
        </c:scaling>
        <c:axPos val="b"/>
        <c:majorTickMark val="none"/>
        <c:tickLblPos val="nextTo"/>
        <c:crossAx val="178169728"/>
        <c:crosses val="autoZero"/>
        <c:auto val="1"/>
        <c:lblAlgn val="ctr"/>
        <c:lblOffset val="100"/>
      </c:catAx>
      <c:valAx>
        <c:axId val="178169728"/>
        <c:scaling>
          <c:orientation val="minMax"/>
        </c:scaling>
        <c:axPos val="l"/>
        <c:majorGridlines/>
        <c:numFmt formatCode="0%" sourceLinked="1"/>
        <c:majorTickMark val="none"/>
        <c:tickLblPos val="nextTo"/>
        <c:crossAx val="178168192"/>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050"/>
              <a:t>Připravujete nějaké projekty (investiční i neinvestiční) pro období 2014-2020?</a:t>
            </a:r>
          </a:p>
        </c:rich>
      </c:tx>
    </c:title>
    <c:view3D>
      <c:rAngAx val="1"/>
    </c:view3D>
    <c:plotArea>
      <c:layout/>
      <c:bar3DChart>
        <c:barDir val="col"/>
        <c:grouping val="percentStacked"/>
        <c:ser>
          <c:idx val="0"/>
          <c:order val="0"/>
          <c:tx>
            <c:strRef>
              <c:f>'20'!$B$6</c:f>
              <c:strCache>
                <c:ptCount val="1"/>
                <c:pt idx="0">
                  <c:v>ano</c:v>
                </c:pt>
              </c:strCache>
            </c:strRef>
          </c:tx>
          <c:cat>
            <c:strRef>
              <c:f>'20'!$A$7:$A$8</c:f>
              <c:strCache>
                <c:ptCount val="2"/>
                <c:pt idx="0">
                  <c:v>firmy</c:v>
                </c:pt>
                <c:pt idx="1">
                  <c:v>neziskovky</c:v>
                </c:pt>
              </c:strCache>
            </c:strRef>
          </c:cat>
          <c:val>
            <c:numRef>
              <c:f>'20'!$B$7:$B$8</c:f>
              <c:numCache>
                <c:formatCode>General</c:formatCode>
                <c:ptCount val="2"/>
                <c:pt idx="0">
                  <c:v>11</c:v>
                </c:pt>
                <c:pt idx="1">
                  <c:v>7</c:v>
                </c:pt>
              </c:numCache>
            </c:numRef>
          </c:val>
        </c:ser>
        <c:ser>
          <c:idx val="1"/>
          <c:order val="1"/>
          <c:tx>
            <c:strRef>
              <c:f>'20'!$C$6</c:f>
              <c:strCache>
                <c:ptCount val="1"/>
                <c:pt idx="0">
                  <c:v>ne</c:v>
                </c:pt>
              </c:strCache>
            </c:strRef>
          </c:tx>
          <c:cat>
            <c:strRef>
              <c:f>'20'!$A$7:$A$8</c:f>
              <c:strCache>
                <c:ptCount val="2"/>
                <c:pt idx="0">
                  <c:v>firmy</c:v>
                </c:pt>
                <c:pt idx="1">
                  <c:v>neziskovky</c:v>
                </c:pt>
              </c:strCache>
            </c:strRef>
          </c:cat>
          <c:val>
            <c:numRef>
              <c:f>'20'!$C$7:$C$8</c:f>
              <c:numCache>
                <c:formatCode>General</c:formatCode>
                <c:ptCount val="2"/>
                <c:pt idx="0">
                  <c:v>11</c:v>
                </c:pt>
              </c:numCache>
            </c:numRef>
          </c:val>
        </c:ser>
        <c:gapWidth val="55"/>
        <c:gapDepth val="55"/>
        <c:shape val="box"/>
        <c:axId val="178186880"/>
        <c:axId val="178262400"/>
        <c:axId val="0"/>
      </c:bar3DChart>
      <c:catAx>
        <c:axId val="178186880"/>
        <c:scaling>
          <c:orientation val="minMax"/>
        </c:scaling>
        <c:axPos val="b"/>
        <c:majorTickMark val="none"/>
        <c:tickLblPos val="nextTo"/>
        <c:crossAx val="178262400"/>
        <c:crosses val="autoZero"/>
        <c:auto val="1"/>
        <c:lblAlgn val="ctr"/>
        <c:lblOffset val="100"/>
      </c:catAx>
      <c:valAx>
        <c:axId val="178262400"/>
        <c:scaling>
          <c:orientation val="minMax"/>
        </c:scaling>
        <c:axPos val="l"/>
        <c:majorGridlines/>
        <c:numFmt formatCode="0%" sourceLinked="1"/>
        <c:majorTickMark val="none"/>
        <c:tickLblPos val="nextTo"/>
        <c:crossAx val="17818688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1" i="0" u="none" strike="noStrike" baseline="0">
                <a:solidFill>
                  <a:srgbClr val="000000"/>
                </a:solidFill>
                <a:latin typeface="Calibri"/>
                <a:ea typeface="Calibri"/>
                <a:cs typeface="Calibri"/>
              </a:defRPr>
            </a:pPr>
            <a:r>
              <a:rPr lang="cs-CZ" sz="1100"/>
              <a:t>Shledáváte stav chodníků veřejných prostranství, zeleně a parků v obci jako vyhovující? </a:t>
            </a:r>
          </a:p>
        </c:rich>
      </c:tx>
      <c:layout>
        <c:manualLayout>
          <c:xMode val="edge"/>
          <c:yMode val="edge"/>
          <c:x val="0.11668642685913672"/>
          <c:y val="2.1791428496313252E-2"/>
        </c:manualLayout>
      </c:layout>
      <c:spPr>
        <a:noFill/>
        <a:ln w="25400">
          <a:noFill/>
        </a:ln>
      </c:spPr>
    </c:title>
    <c:view3D>
      <c:rotX val="30"/>
      <c:perspective val="0"/>
    </c:view3D>
    <c:plotArea>
      <c:layout>
        <c:manualLayout>
          <c:layoutTarget val="inner"/>
          <c:xMode val="edge"/>
          <c:yMode val="edge"/>
          <c:x val="7.4702902939809371E-2"/>
          <c:y val="0.3443275590551183"/>
          <c:w val="0.54294437275608165"/>
          <c:h val="0.57734383202100448"/>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'4.12'!$A$2:$F$2</c:f>
              <c:strCache>
                <c:ptCount val="6"/>
                <c:pt idx="0">
                  <c:v>ano</c:v>
                </c:pt>
                <c:pt idx="1">
                  <c:v>spíše ano</c:v>
                </c:pt>
                <c:pt idx="2">
                  <c:v>spíše ne</c:v>
                </c:pt>
                <c:pt idx="3">
                  <c:v>ne</c:v>
                </c:pt>
                <c:pt idx="4">
                  <c:v>nevím</c:v>
                </c:pt>
                <c:pt idx="5">
                  <c:v>bez odpovědi</c:v>
                </c:pt>
              </c:strCache>
            </c:strRef>
          </c:cat>
          <c:val>
            <c:numRef>
              <c:f>'4.12'!$A$3:$F$3</c:f>
              <c:numCache>
                <c:formatCode>General</c:formatCode>
                <c:ptCount val="6"/>
                <c:pt idx="0">
                  <c:v>3</c:v>
                </c:pt>
                <c:pt idx="1">
                  <c:v>7</c:v>
                </c:pt>
                <c:pt idx="2">
                  <c:v>11</c:v>
                </c:pt>
                <c:pt idx="3">
                  <c:v>3</c:v>
                </c:pt>
              </c:numCache>
            </c:numRef>
          </c:val>
        </c:ser>
      </c:pie3DChart>
      <c:spPr>
        <a:noFill/>
        <a:ln w="25400">
          <a:noFill/>
        </a:ln>
      </c:spPr>
    </c:plotArea>
    <c:legend>
      <c:legendPos val="r"/>
      <c:layout>
        <c:manualLayout>
          <c:xMode val="edge"/>
          <c:yMode val="edge"/>
          <c:x val="0.71757160789683894"/>
          <c:y val="0.31217157855268446"/>
          <c:w val="0.28083813937973784"/>
          <c:h val="0.65788376452943464"/>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Přivítali byste dotační podporu pro projekty také v budoucnosti?</a:t>
            </a:r>
          </a:p>
        </c:rich>
      </c:tx>
    </c:title>
    <c:view3D>
      <c:rAngAx val="1"/>
    </c:view3D>
    <c:plotArea>
      <c:layout/>
      <c:bar3DChart>
        <c:barDir val="col"/>
        <c:grouping val="percentStacked"/>
        <c:ser>
          <c:idx val="0"/>
          <c:order val="0"/>
          <c:tx>
            <c:strRef>
              <c:f>'21'!$B$6</c:f>
              <c:strCache>
                <c:ptCount val="1"/>
                <c:pt idx="0">
                  <c:v>ano</c:v>
                </c:pt>
              </c:strCache>
            </c:strRef>
          </c:tx>
          <c:cat>
            <c:strRef>
              <c:f>'21'!$A$7:$A$8</c:f>
              <c:strCache>
                <c:ptCount val="2"/>
                <c:pt idx="0">
                  <c:v>firmy</c:v>
                </c:pt>
                <c:pt idx="1">
                  <c:v>neziskovky</c:v>
                </c:pt>
              </c:strCache>
            </c:strRef>
          </c:cat>
          <c:val>
            <c:numRef>
              <c:f>'21'!$B$7:$B$8</c:f>
              <c:numCache>
                <c:formatCode>General</c:formatCode>
                <c:ptCount val="2"/>
                <c:pt idx="0">
                  <c:v>15</c:v>
                </c:pt>
                <c:pt idx="1">
                  <c:v>6</c:v>
                </c:pt>
              </c:numCache>
            </c:numRef>
          </c:val>
        </c:ser>
        <c:ser>
          <c:idx val="1"/>
          <c:order val="1"/>
          <c:tx>
            <c:strRef>
              <c:f>'21'!$C$6</c:f>
              <c:strCache>
                <c:ptCount val="1"/>
                <c:pt idx="0">
                  <c:v>ne</c:v>
                </c:pt>
              </c:strCache>
            </c:strRef>
          </c:tx>
          <c:cat>
            <c:strRef>
              <c:f>'21'!$A$7:$A$8</c:f>
              <c:strCache>
                <c:ptCount val="2"/>
                <c:pt idx="0">
                  <c:v>firmy</c:v>
                </c:pt>
                <c:pt idx="1">
                  <c:v>neziskovky</c:v>
                </c:pt>
              </c:strCache>
            </c:strRef>
          </c:cat>
          <c:val>
            <c:numRef>
              <c:f>'21'!$C$7:$C$8</c:f>
              <c:numCache>
                <c:formatCode>General</c:formatCode>
                <c:ptCount val="2"/>
                <c:pt idx="0">
                  <c:v>2</c:v>
                </c:pt>
              </c:numCache>
            </c:numRef>
          </c:val>
        </c:ser>
        <c:ser>
          <c:idx val="2"/>
          <c:order val="2"/>
          <c:tx>
            <c:strRef>
              <c:f>'21'!$D$6</c:f>
              <c:strCache>
                <c:ptCount val="1"/>
                <c:pt idx="0">
                  <c:v>bez odpovědi</c:v>
                </c:pt>
              </c:strCache>
            </c:strRef>
          </c:tx>
          <c:cat>
            <c:strRef>
              <c:f>'21'!$A$7:$A$8</c:f>
              <c:strCache>
                <c:ptCount val="2"/>
                <c:pt idx="0">
                  <c:v>firmy</c:v>
                </c:pt>
                <c:pt idx="1">
                  <c:v>neziskovky</c:v>
                </c:pt>
              </c:strCache>
            </c:strRef>
          </c:cat>
          <c:val>
            <c:numRef>
              <c:f>'21'!$D$7:$D$8</c:f>
              <c:numCache>
                <c:formatCode>General</c:formatCode>
                <c:ptCount val="2"/>
                <c:pt idx="0">
                  <c:v>5</c:v>
                </c:pt>
                <c:pt idx="1">
                  <c:v>1</c:v>
                </c:pt>
              </c:numCache>
            </c:numRef>
          </c:val>
        </c:ser>
        <c:gapWidth val="55"/>
        <c:gapDepth val="55"/>
        <c:shape val="box"/>
        <c:axId val="178292608"/>
        <c:axId val="178294144"/>
        <c:axId val="0"/>
      </c:bar3DChart>
      <c:catAx>
        <c:axId val="178292608"/>
        <c:scaling>
          <c:orientation val="minMax"/>
        </c:scaling>
        <c:axPos val="b"/>
        <c:majorTickMark val="none"/>
        <c:tickLblPos val="nextTo"/>
        <c:crossAx val="178294144"/>
        <c:crosses val="autoZero"/>
        <c:auto val="1"/>
        <c:lblAlgn val="ctr"/>
        <c:lblOffset val="100"/>
      </c:catAx>
      <c:valAx>
        <c:axId val="178294144"/>
        <c:scaling>
          <c:orientation val="minMax"/>
        </c:scaling>
        <c:axPos val="l"/>
        <c:majorGridlines/>
        <c:numFmt formatCode="0%" sourceLinked="1"/>
        <c:majorTickMark val="none"/>
        <c:tickLblPos val="nextTo"/>
        <c:crossAx val="178292608"/>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ve Vašem okolí dostatečná nabídka pracovních příležitostí?</a:t>
            </a:r>
          </a:p>
        </c:rich>
      </c:tx>
      <c:layout>
        <c:manualLayout>
          <c:xMode val="edge"/>
          <c:yMode val="edge"/>
          <c:x val="0.1162339205164072"/>
          <c:y val="2.7491362635314744E-2"/>
        </c:manualLayout>
      </c:layout>
      <c:spPr>
        <a:noFill/>
        <a:ln w="25400">
          <a:noFill/>
        </a:ln>
      </c:spPr>
    </c:title>
    <c:view3D>
      <c:rotX val="30"/>
      <c:perspective val="0"/>
    </c:view3D>
    <c:plotArea>
      <c:layout>
        <c:manualLayout>
          <c:layoutTarget val="inner"/>
          <c:xMode val="edge"/>
          <c:yMode val="edge"/>
          <c:x val="7.3032237983462506E-2"/>
          <c:y val="0.33183611729337975"/>
          <c:w val="0.56509574739450052"/>
          <c:h val="0.58225633309640057"/>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'4.17'!$A$2:$F$2</c:f>
              <c:strCache>
                <c:ptCount val="6"/>
                <c:pt idx="0">
                  <c:v>ano</c:v>
                </c:pt>
                <c:pt idx="1">
                  <c:v>spíše ano</c:v>
                </c:pt>
                <c:pt idx="2">
                  <c:v>spíše ne</c:v>
                </c:pt>
                <c:pt idx="3">
                  <c:v>ne</c:v>
                </c:pt>
                <c:pt idx="4">
                  <c:v>nevím</c:v>
                </c:pt>
                <c:pt idx="5">
                  <c:v>bez odpovědi</c:v>
                </c:pt>
              </c:strCache>
            </c:strRef>
          </c:cat>
          <c:val>
            <c:numRef>
              <c:f>'4.17'!$A$3:$F$3</c:f>
              <c:numCache>
                <c:formatCode>General</c:formatCode>
                <c:ptCount val="6"/>
                <c:pt idx="0">
                  <c:v>1</c:v>
                </c:pt>
                <c:pt idx="1">
                  <c:v>1</c:v>
                </c:pt>
                <c:pt idx="2">
                  <c:v>11</c:v>
                </c:pt>
                <c:pt idx="3">
                  <c:v>10</c:v>
                </c:pt>
                <c:pt idx="4">
                  <c:v>1</c:v>
                </c:pt>
              </c:numCache>
            </c:numRef>
          </c:val>
        </c:ser>
      </c:pie3DChart>
      <c:spPr>
        <a:noFill/>
        <a:ln w="25400">
          <a:noFill/>
        </a:ln>
      </c:spPr>
    </c:plotArea>
    <c:legend>
      <c:legendPos val="r"/>
      <c:layout>
        <c:manualLayout>
          <c:xMode val="edge"/>
          <c:yMode val="edge"/>
          <c:x val="0.75135928753770265"/>
          <c:y val="0.39098640743892016"/>
          <c:w val="0.19791706932997521"/>
          <c:h val="0.4948470214743794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ve Vašem okolí dostatečná nabídka pracovních příležitostí?</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'16'!$A$2:$F$2</c:f>
              <c:strCache>
                <c:ptCount val="6"/>
                <c:pt idx="0">
                  <c:v>ano</c:v>
                </c:pt>
                <c:pt idx="1">
                  <c:v>spíše ano</c:v>
                </c:pt>
                <c:pt idx="2">
                  <c:v>spíše ne</c:v>
                </c:pt>
                <c:pt idx="3">
                  <c:v>ne</c:v>
                </c:pt>
                <c:pt idx="4">
                  <c:v>bez odpovědi</c:v>
                </c:pt>
                <c:pt idx="5">
                  <c:v>nevím</c:v>
                </c:pt>
              </c:strCache>
            </c:strRef>
          </c:cat>
          <c:val>
            <c:numRef>
              <c:f>'16'!$A$3:$F$3</c:f>
              <c:numCache>
                <c:formatCode>General</c:formatCode>
                <c:ptCount val="6"/>
                <c:pt idx="0">
                  <c:v>3</c:v>
                </c:pt>
                <c:pt idx="1">
                  <c:v>7</c:v>
                </c:pt>
                <c:pt idx="2">
                  <c:v>43</c:v>
                </c:pt>
                <c:pt idx="3">
                  <c:v>49</c:v>
                </c:pt>
                <c:pt idx="4">
                  <c:v>7</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Vyhovuje Vám dostupnost škol?</a:t>
            </a:r>
          </a:p>
        </c:rich>
      </c:tx>
      <c:layout>
        <c:manualLayout>
          <c:xMode val="edge"/>
          <c:yMode val="edge"/>
          <c:x val="0.15629484791250844"/>
          <c:y val="2.6074591062925697E-3"/>
        </c:manualLayout>
      </c:layout>
      <c:spPr>
        <a:noFill/>
        <a:ln w="25400">
          <a:noFill/>
        </a:ln>
      </c:spPr>
    </c:title>
    <c:view3D>
      <c:rotX val="30"/>
      <c:perspective val="0"/>
    </c:view3D>
    <c:plotArea>
      <c:layout>
        <c:manualLayout>
          <c:layoutTarget val="inner"/>
          <c:xMode val="edge"/>
          <c:yMode val="edge"/>
          <c:x val="4.8004735293301189E-2"/>
          <c:y val="0.34011626213309432"/>
          <c:w val="0.55407980796532164"/>
          <c:h val="0.5671034386324818"/>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2"/>
              <c:delete val="1"/>
            </c:dLbl>
            <c:dLbl>
              <c:idx val="3"/>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'4.7'!$A$2:$F$2</c:f>
              <c:strCache>
                <c:ptCount val="6"/>
                <c:pt idx="0">
                  <c:v>ano</c:v>
                </c:pt>
                <c:pt idx="1">
                  <c:v>spíše ano</c:v>
                </c:pt>
                <c:pt idx="2">
                  <c:v>spíše ne</c:v>
                </c:pt>
                <c:pt idx="3">
                  <c:v>ne</c:v>
                </c:pt>
                <c:pt idx="4">
                  <c:v>nevím</c:v>
                </c:pt>
                <c:pt idx="5">
                  <c:v>bez odpovědi</c:v>
                </c:pt>
              </c:strCache>
            </c:strRef>
          </c:cat>
          <c:val>
            <c:numRef>
              <c:f>'4.7'!$A$3:$F$3</c:f>
              <c:numCache>
                <c:formatCode>General</c:formatCode>
                <c:ptCount val="6"/>
                <c:pt idx="0">
                  <c:v>11</c:v>
                </c:pt>
                <c:pt idx="1">
                  <c:v>12</c:v>
                </c:pt>
                <c:pt idx="4">
                  <c:v>1</c:v>
                </c:pt>
              </c:numCache>
            </c:numRef>
          </c:val>
        </c:ser>
      </c:pie3DChart>
      <c:spPr>
        <a:noFill/>
        <a:ln w="25400">
          <a:noFill/>
        </a:ln>
      </c:spPr>
    </c:plotArea>
    <c:legend>
      <c:legendPos val="r"/>
      <c:layout>
        <c:manualLayout>
          <c:xMode val="edge"/>
          <c:yMode val="edge"/>
          <c:x val="0.75345917503514204"/>
          <c:y val="9.6818390448754343E-2"/>
          <c:w val="0.19791706932997521"/>
          <c:h val="0.90318160955124549"/>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Je pro Vás vyhovující kvalita základních škol a mateřských škol?</a:t>
            </a:r>
          </a:p>
        </c:rich>
      </c:tx>
      <c:layout>
        <c:manualLayout>
          <c:xMode val="edge"/>
          <c:yMode val="edge"/>
          <c:x val="0.14173836236753579"/>
          <c:y val="2.7491362635314744E-2"/>
        </c:manualLayout>
      </c:layout>
      <c:spPr>
        <a:noFill/>
        <a:ln w="25400">
          <a:noFill/>
        </a:ln>
      </c:spPr>
    </c:title>
    <c:view3D>
      <c:rotX val="30"/>
      <c:perspective val="0"/>
    </c:view3D>
    <c:plotArea>
      <c:layout>
        <c:manualLayout>
          <c:layoutTarget val="inner"/>
          <c:xMode val="edge"/>
          <c:yMode val="edge"/>
          <c:x val="8.4136046130642392E-2"/>
          <c:y val="0.39195537992752977"/>
          <c:w val="0.50402480258501259"/>
          <c:h val="0.51751251179807956"/>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2"/>
              <c:delete val="1"/>
            </c:dLbl>
            <c:dLbl>
              <c:idx val="3"/>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'4.8'!$A$2:$F$2</c:f>
              <c:strCache>
                <c:ptCount val="6"/>
                <c:pt idx="0">
                  <c:v>ano</c:v>
                </c:pt>
                <c:pt idx="1">
                  <c:v>spíše ano</c:v>
                </c:pt>
                <c:pt idx="2">
                  <c:v>spíše ne</c:v>
                </c:pt>
                <c:pt idx="3">
                  <c:v>ne</c:v>
                </c:pt>
                <c:pt idx="4">
                  <c:v>nevím</c:v>
                </c:pt>
                <c:pt idx="5">
                  <c:v>bez odpovědi</c:v>
                </c:pt>
              </c:strCache>
            </c:strRef>
          </c:cat>
          <c:val>
            <c:numRef>
              <c:f>'4.8'!$A$3:$F$3</c:f>
              <c:numCache>
                <c:formatCode>General</c:formatCode>
                <c:ptCount val="6"/>
                <c:pt idx="0">
                  <c:v>17</c:v>
                </c:pt>
                <c:pt idx="1">
                  <c:v>6</c:v>
                </c:pt>
                <c:pt idx="4">
                  <c:v>1</c:v>
                </c:pt>
              </c:numCache>
            </c:numRef>
          </c:val>
        </c:ser>
      </c:pie3DChart>
      <c:spPr>
        <a:noFill/>
        <a:ln w="25400">
          <a:noFill/>
        </a:ln>
      </c:spPr>
    </c:plotArea>
    <c:legend>
      <c:legendPos val="r"/>
      <c:layout>
        <c:manualLayout>
          <c:xMode val="edge"/>
          <c:yMode val="edge"/>
          <c:x val="0.7235997671697556"/>
          <c:y val="0.22764200561267453"/>
          <c:w val="0.19791706932997521"/>
          <c:h val="0.77235799438732544"/>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Vyhovuje Vám dostupnost školských zařízení?</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'7'!$A$2:$F$2</c:f>
              <c:strCache>
                <c:ptCount val="6"/>
                <c:pt idx="0">
                  <c:v>ano</c:v>
                </c:pt>
                <c:pt idx="1">
                  <c:v>spíše ano</c:v>
                </c:pt>
                <c:pt idx="2">
                  <c:v>spíše ne</c:v>
                </c:pt>
                <c:pt idx="3">
                  <c:v>ne</c:v>
                </c:pt>
                <c:pt idx="4">
                  <c:v>bez odpovědi</c:v>
                </c:pt>
                <c:pt idx="5">
                  <c:v>nevím</c:v>
                </c:pt>
              </c:strCache>
            </c:strRef>
          </c:cat>
          <c:val>
            <c:numRef>
              <c:f>'7'!$A$3:$F$3</c:f>
              <c:numCache>
                <c:formatCode>General</c:formatCode>
                <c:ptCount val="6"/>
                <c:pt idx="0">
                  <c:v>69</c:v>
                </c:pt>
                <c:pt idx="1">
                  <c:v>26</c:v>
                </c:pt>
                <c:pt idx="2">
                  <c:v>4</c:v>
                </c:pt>
                <c:pt idx="3">
                  <c:v>2</c:v>
                </c:pt>
                <c:pt idx="4">
                  <c:v>7</c:v>
                </c:pt>
                <c:pt idx="5">
                  <c:v>1</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 </a:t>
            </a:r>
            <a:r>
              <a:rPr lang="cs-CZ" sz="1200"/>
              <a:t>Je pro Vás vyhovující kvalita základních škol a mateřských škol?</a:t>
            </a:r>
          </a:p>
        </c:rich>
      </c:tx>
      <c:layout>
        <c:manualLayout>
          <c:xMode val="edge"/>
          <c:yMode val="edge"/>
          <c:x val="0.15717266609457567"/>
          <c:y val="0"/>
        </c:manualLayout>
      </c:layout>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'6'!$A$2:$G$2</c:f>
              <c:strCache>
                <c:ptCount val="7"/>
                <c:pt idx="0">
                  <c:v>ano</c:v>
                </c:pt>
                <c:pt idx="1">
                  <c:v>spíše ano</c:v>
                </c:pt>
                <c:pt idx="2">
                  <c:v>spíše ne</c:v>
                </c:pt>
                <c:pt idx="3">
                  <c:v>ne</c:v>
                </c:pt>
                <c:pt idx="4">
                  <c:v>bez odpovědi</c:v>
                </c:pt>
                <c:pt idx="5">
                  <c:v>nevím</c:v>
                </c:pt>
                <c:pt idx="6">
                  <c:v>chybí Zš</c:v>
                </c:pt>
              </c:strCache>
            </c:strRef>
          </c:cat>
          <c:val>
            <c:numRef>
              <c:f>'6'!$A$3:$G$3</c:f>
              <c:numCache>
                <c:formatCode>General</c:formatCode>
                <c:ptCount val="7"/>
                <c:pt idx="0">
                  <c:v>57</c:v>
                </c:pt>
                <c:pt idx="1">
                  <c:v>25</c:v>
                </c:pt>
                <c:pt idx="2">
                  <c:v>12</c:v>
                </c:pt>
                <c:pt idx="3">
                  <c:v>2</c:v>
                </c:pt>
                <c:pt idx="4">
                  <c:v>11</c:v>
                </c:pt>
                <c:pt idx="5">
                  <c:v>1</c:v>
                </c:pt>
                <c:pt idx="6">
                  <c:v>1</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informování obyvatel v obci a v regionu podle Vašeho názoru dostatečně?</a:t>
            </a:r>
          </a:p>
        </c:rich>
      </c:tx>
    </c:title>
    <c:view3D>
      <c:rotX val="30"/>
      <c:perspective val="30"/>
    </c:view3D>
    <c:plotArea>
      <c:layout/>
      <c:pie3DChart>
        <c:varyColors val="1"/>
        <c:ser>
          <c:idx val="0"/>
          <c:order val="0"/>
          <c:dLbls>
            <c:dLbl>
              <c:idx val="4"/>
              <c:layout>
                <c:manualLayout>
                  <c:x val="5.0165644010217794E-2"/>
                  <c:y val="1.9715324046032994E-3"/>
                </c:manualLayout>
              </c:layout>
              <c:showPercent val="1"/>
            </c:dLbl>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'20'!$A$2:$F$2</c:f>
              <c:strCache>
                <c:ptCount val="6"/>
                <c:pt idx="0">
                  <c:v>ano</c:v>
                </c:pt>
                <c:pt idx="1">
                  <c:v>spíše ano</c:v>
                </c:pt>
                <c:pt idx="2">
                  <c:v>spíše ne </c:v>
                </c:pt>
                <c:pt idx="3">
                  <c:v>ne</c:v>
                </c:pt>
                <c:pt idx="4">
                  <c:v>bez odpovědi</c:v>
                </c:pt>
                <c:pt idx="5">
                  <c:v>nevím</c:v>
                </c:pt>
              </c:strCache>
            </c:strRef>
          </c:cat>
          <c:val>
            <c:numRef>
              <c:f>'20'!$A$3:$F$3</c:f>
              <c:numCache>
                <c:formatCode>General</c:formatCode>
                <c:ptCount val="6"/>
                <c:pt idx="0">
                  <c:v>55</c:v>
                </c:pt>
                <c:pt idx="1">
                  <c:v>35</c:v>
                </c:pt>
                <c:pt idx="2">
                  <c:v>7</c:v>
                </c:pt>
                <c:pt idx="3">
                  <c:v>3</c:v>
                </c:pt>
                <c:pt idx="4">
                  <c:v>9</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 Jaký způsob informování o dění v obci by vám vyhovoval?</a:t>
            </a:r>
          </a:p>
        </c:rich>
      </c:tx>
    </c:title>
    <c:view3D>
      <c:rotX val="30"/>
      <c:perspective val="30"/>
    </c:view3D>
    <c:plotArea>
      <c:layout/>
      <c:pie3DChart>
        <c:varyColors val="1"/>
        <c:ser>
          <c:idx val="0"/>
          <c:order val="0"/>
          <c:dLbls>
            <c:dLbl>
              <c:idx val="0"/>
              <c:layout>
                <c:manualLayout>
                  <c:x val="-0.11237212405305524"/>
                  <c:y val="5.1152836664647691E-2"/>
                </c:manualLayout>
              </c:layout>
              <c:showPercent val="1"/>
            </c:dLbl>
            <c:dLbl>
              <c:idx val="4"/>
              <c:layout>
                <c:manualLayout>
                  <c:x val="8.5998999288968508E-2"/>
                  <c:y val="7.3864324651727098E-2"/>
                </c:manualLayout>
              </c:layout>
              <c:showPercent val="1"/>
            </c:dLbl>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'21'!$A$2:$F$2</c:f>
              <c:strCache>
                <c:ptCount val="6"/>
                <c:pt idx="0">
                  <c:v>místní rozhlas</c:v>
                </c:pt>
                <c:pt idx="1">
                  <c:v>Internetové stránky</c:v>
                </c:pt>
                <c:pt idx="2">
                  <c:v>úřední desky</c:v>
                </c:pt>
                <c:pt idx="3">
                  <c:v>místní tisk</c:v>
                </c:pt>
                <c:pt idx="4">
                  <c:v>E-mail</c:v>
                </c:pt>
                <c:pt idx="5">
                  <c:v>SMS</c:v>
                </c:pt>
              </c:strCache>
            </c:strRef>
          </c:cat>
          <c:val>
            <c:numRef>
              <c:f>'21'!$A$3:$F$3</c:f>
              <c:numCache>
                <c:formatCode>General</c:formatCode>
                <c:ptCount val="6"/>
                <c:pt idx="0">
                  <c:v>51</c:v>
                </c:pt>
                <c:pt idx="1">
                  <c:v>49</c:v>
                </c:pt>
                <c:pt idx="2">
                  <c:v>29</c:v>
                </c:pt>
                <c:pt idx="3">
                  <c:v>53</c:v>
                </c:pt>
                <c:pt idx="4">
                  <c:v>29</c:v>
                </c:pt>
                <c:pt idx="5">
                  <c:v>0</c:v>
                </c:pt>
              </c:numCache>
            </c:numRef>
          </c:val>
        </c:ser>
        <c:dLbls>
          <c:showPercent val="1"/>
        </c:dLbls>
      </c:pie3DChart>
      <c:spPr>
        <a:noFill/>
        <a:ln w="25400">
          <a:noFill/>
        </a:ln>
      </c:spPr>
    </c:plotArea>
    <c:legend>
      <c:legendPos val="r"/>
      <c:layout>
        <c:manualLayout>
          <c:xMode val="edge"/>
          <c:yMode val="edge"/>
          <c:x val="0.5871947611899605"/>
          <c:y val="0.27198415101958706"/>
          <c:w val="0.39050869477436323"/>
          <c:h val="0.66026246719160109"/>
        </c:manualLayout>
      </c:layout>
      <c:txPr>
        <a:bodyPr/>
        <a:lstStyle/>
        <a:p>
          <a:pPr>
            <a:defRPr sz="90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Jakým způsobem informujete občany o dění v obci?</a:t>
            </a:r>
          </a:p>
        </c:rich>
      </c:tx>
      <c:layout>
        <c:manualLayout>
          <c:xMode val="edge"/>
          <c:yMode val="edge"/>
          <c:x val="0.12533530559896841"/>
          <c:y val="2.7491362635314771E-2"/>
        </c:manualLayout>
      </c:layout>
      <c:spPr>
        <a:noFill/>
        <a:ln w="25400">
          <a:noFill/>
        </a:ln>
      </c:spPr>
    </c:title>
    <c:view3D>
      <c:rotX val="30"/>
      <c:perspective val="0"/>
    </c:view3D>
    <c:plotArea>
      <c:layout>
        <c:manualLayout>
          <c:layoutTarget val="inner"/>
          <c:xMode val="edge"/>
          <c:yMode val="edge"/>
          <c:x val="3.2150134560261272E-2"/>
          <c:y val="0.31796244130088747"/>
          <c:w val="0.5912769295731215"/>
          <c:h val="0.60537912641722691"/>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Pt>
            <c:idx val="6"/>
            <c:spPr>
              <a:solidFill>
                <a:srgbClr val="93A9CF"/>
              </a:solidFill>
              <a:ln w="25400">
                <a:noFill/>
              </a:ln>
            </c:spPr>
          </c:dPt>
          <c:dLbls>
            <c:dLbl>
              <c:idx val="4"/>
              <c:layout>
                <c:manualLayout>
                  <c:x val="4.0133779264214048E-2"/>
                  <c:y val="-0.12458071232716023"/>
                </c:manualLayout>
              </c:layout>
              <c:showPercent val="1"/>
            </c:dLbl>
            <c:dLbl>
              <c:idx val="5"/>
              <c:layout>
                <c:manualLayout>
                  <c:x val="3.4069119286510602E-2"/>
                  <c:y val="-0.10560741359843986"/>
                </c:manualLayout>
              </c:layout>
              <c:showPercent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'2.1'!$A$2:$G$2</c:f>
              <c:strCache>
                <c:ptCount val="7"/>
                <c:pt idx="0">
                  <c:v>Osobně</c:v>
                </c:pt>
                <c:pt idx="1">
                  <c:v>Internetová stránky</c:v>
                </c:pt>
                <c:pt idx="2">
                  <c:v>Místní tisk</c:v>
                </c:pt>
                <c:pt idx="3">
                  <c:v>Místní rozhlas</c:v>
                </c:pt>
                <c:pt idx="4">
                  <c:v>E-mail</c:v>
                </c:pt>
                <c:pt idx="5">
                  <c:v>sms</c:v>
                </c:pt>
                <c:pt idx="6">
                  <c:v>Veřejná deska</c:v>
                </c:pt>
              </c:strCache>
            </c:strRef>
          </c:cat>
          <c:val>
            <c:numRef>
              <c:f>'2.1'!$A$3:$G$3</c:f>
              <c:numCache>
                <c:formatCode>General</c:formatCode>
                <c:ptCount val="7"/>
                <c:pt idx="0">
                  <c:v>16</c:v>
                </c:pt>
                <c:pt idx="1">
                  <c:v>19</c:v>
                </c:pt>
                <c:pt idx="2">
                  <c:v>15</c:v>
                </c:pt>
                <c:pt idx="3">
                  <c:v>18</c:v>
                </c:pt>
                <c:pt idx="4">
                  <c:v>6</c:v>
                </c:pt>
                <c:pt idx="5">
                  <c:v>5</c:v>
                </c:pt>
                <c:pt idx="6">
                  <c:v>23</c:v>
                </c:pt>
              </c:numCache>
            </c:numRef>
          </c:val>
        </c:ser>
      </c:pie3DChart>
      <c:spPr>
        <a:noFill/>
        <a:ln w="25400">
          <a:noFill/>
        </a:ln>
      </c:spPr>
    </c:plotArea>
    <c:legend>
      <c:legendPos val="r"/>
      <c:layout>
        <c:manualLayout>
          <c:xMode val="edge"/>
          <c:yMode val="edge"/>
          <c:x val="0.60315627770608971"/>
          <c:y val="0.22006460730870167"/>
          <c:w val="0.39417164827640738"/>
          <c:h val="0.76962901271957973"/>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1" i="0" u="none" strike="noStrike" baseline="0">
                <a:solidFill>
                  <a:srgbClr val="000000"/>
                </a:solidFill>
                <a:latin typeface="Calibri"/>
                <a:ea typeface="Calibri"/>
                <a:cs typeface="Calibri"/>
              </a:defRPr>
            </a:pPr>
            <a:r>
              <a:rPr lang="cs-CZ" sz="1100"/>
              <a:t>Shledáváte stav chodníků veřejných prostranství, zeleně a parků v obci jako vyhovující?</a:t>
            </a:r>
          </a:p>
        </c:rich>
      </c:tx>
    </c:title>
    <c:view3D>
      <c:rotX val="30"/>
      <c:perspective val="30"/>
    </c:view3D>
    <c:plotArea>
      <c:layout>
        <c:manualLayout>
          <c:layoutTarget val="inner"/>
          <c:xMode val="edge"/>
          <c:yMode val="edge"/>
          <c:x val="5.1271517481719257E-2"/>
          <c:y val="0.41457097862767722"/>
          <c:w val="0.60186307815202034"/>
          <c:h val="0.46259137607799022"/>
        </c:manualLayout>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'14'!$A$2:$F$2</c:f>
              <c:strCache>
                <c:ptCount val="6"/>
                <c:pt idx="0">
                  <c:v>ano</c:v>
                </c:pt>
                <c:pt idx="1">
                  <c:v>spíše ano</c:v>
                </c:pt>
                <c:pt idx="2">
                  <c:v>spíše ne</c:v>
                </c:pt>
                <c:pt idx="3">
                  <c:v>ne</c:v>
                </c:pt>
                <c:pt idx="4">
                  <c:v>bez odpovědi</c:v>
                </c:pt>
                <c:pt idx="5">
                  <c:v>nevím</c:v>
                </c:pt>
              </c:strCache>
            </c:strRef>
          </c:cat>
          <c:val>
            <c:numRef>
              <c:f>'14'!$A$3:$F$3</c:f>
              <c:numCache>
                <c:formatCode>General</c:formatCode>
                <c:ptCount val="6"/>
                <c:pt idx="0">
                  <c:v>27</c:v>
                </c:pt>
                <c:pt idx="1">
                  <c:v>34</c:v>
                </c:pt>
                <c:pt idx="2">
                  <c:v>24</c:v>
                </c:pt>
                <c:pt idx="3">
                  <c:v>18</c:v>
                </c:pt>
                <c:pt idx="4">
                  <c:v>6</c:v>
                </c:pt>
                <c:pt idx="5">
                  <c:v>0</c:v>
                </c:pt>
              </c:numCache>
            </c:numRef>
          </c:val>
        </c:ser>
        <c:dLbls>
          <c:showPercent val="1"/>
        </c:dLbls>
      </c:pie3DChart>
      <c:spPr>
        <a:noFill/>
        <a:ln w="25400">
          <a:noFill/>
        </a:ln>
      </c:spPr>
    </c:plotArea>
    <c:legend>
      <c:legendPos val="r"/>
      <c:layout>
        <c:manualLayout>
          <c:xMode val="edge"/>
          <c:yMode val="edge"/>
          <c:x val="0.67765026027264985"/>
          <c:y val="0.29740862392201584"/>
          <c:w val="0.32234973972735448"/>
          <c:h val="0.65120179977502812"/>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Jakým způsobem jsou zjišťovány názory obyvatel obce?</a:t>
            </a:r>
          </a:p>
        </c:rich>
      </c:tx>
      <c:layout>
        <c:manualLayout>
          <c:xMode val="edge"/>
          <c:yMode val="edge"/>
          <c:x val="0.14848935432828494"/>
          <c:y val="2.7491362635314744E-2"/>
        </c:manualLayout>
      </c:layout>
      <c:spPr>
        <a:noFill/>
        <a:ln w="25400">
          <a:noFill/>
        </a:ln>
      </c:spPr>
    </c:title>
    <c:view3D>
      <c:rotX val="30"/>
      <c:perspective val="0"/>
    </c:view3D>
    <c:plotArea>
      <c:layout>
        <c:manualLayout>
          <c:layoutTarget val="inner"/>
          <c:xMode val="edge"/>
          <c:yMode val="edge"/>
          <c:x val="4.75895832749881E-2"/>
          <c:y val="0.35958346927837276"/>
          <c:w val="0.53818250798161527"/>
          <c:h val="0.55450898111140856"/>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'2.3'!$A$2:$F$2</c:f>
              <c:strCache>
                <c:ptCount val="6"/>
                <c:pt idx="0">
                  <c:v>Osobně</c:v>
                </c:pt>
                <c:pt idx="1">
                  <c:v>Telefonicky</c:v>
                </c:pt>
                <c:pt idx="2">
                  <c:v>E-mailem</c:v>
                </c:pt>
                <c:pt idx="3">
                  <c:v>Anketami</c:v>
                </c:pt>
                <c:pt idx="4">
                  <c:v>Dotazníkovým šetření</c:v>
                </c:pt>
                <c:pt idx="5">
                  <c:v>Setkáním s občany</c:v>
                </c:pt>
              </c:strCache>
            </c:strRef>
          </c:cat>
          <c:val>
            <c:numRef>
              <c:f>'2.3'!$A$3:$F$3</c:f>
              <c:numCache>
                <c:formatCode>General</c:formatCode>
                <c:ptCount val="6"/>
                <c:pt idx="0">
                  <c:v>20</c:v>
                </c:pt>
                <c:pt idx="1">
                  <c:v>9</c:v>
                </c:pt>
                <c:pt idx="2">
                  <c:v>5</c:v>
                </c:pt>
                <c:pt idx="3">
                  <c:v>5</c:v>
                </c:pt>
                <c:pt idx="4">
                  <c:v>4</c:v>
                </c:pt>
                <c:pt idx="5">
                  <c:v>19</c:v>
                </c:pt>
              </c:numCache>
            </c:numRef>
          </c:val>
        </c:ser>
      </c:pie3DChart>
      <c:spPr>
        <a:noFill/>
        <a:ln w="25400">
          <a:noFill/>
        </a:ln>
      </c:spPr>
    </c:plotArea>
    <c:legend>
      <c:legendPos val="r"/>
      <c:layout>
        <c:manualLayout>
          <c:xMode val="edge"/>
          <c:yMode val="edge"/>
          <c:x val="0.65129845863558478"/>
          <c:y val="0.33549170346892881"/>
          <c:w val="0.29227557411273486"/>
          <c:h val="0.4948470214743794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Jste spokojeni s dostupností informací k jednotlivým operačním programům?</a:t>
            </a:r>
          </a:p>
        </c:rich>
      </c:tx>
      <c:layout>
        <c:manualLayout>
          <c:xMode val="edge"/>
          <c:yMode val="edge"/>
          <c:x val="0.17353700081755441"/>
          <c:y val="1.8372845801913243E-2"/>
        </c:manualLayout>
      </c:layout>
      <c:spPr>
        <a:noFill/>
        <a:ln w="25400">
          <a:noFill/>
        </a:ln>
      </c:spPr>
    </c:title>
    <c:view3D>
      <c:rotX val="30"/>
      <c:perspective val="0"/>
    </c:view3D>
    <c:plotArea>
      <c:layout>
        <c:manualLayout>
          <c:layoutTarget val="inner"/>
          <c:xMode val="edge"/>
          <c:yMode val="edge"/>
          <c:x val="4.8421394322176174E-2"/>
          <c:y val="0.28600750165745265"/>
          <c:w val="0.5858060144157079"/>
          <c:h val="0.58691950195230769"/>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layout>
                <c:manualLayout>
                  <c:x val="2.5964033647737427E-2"/>
                  <c:y val="9.3065961910472089E-2"/>
                </c:manualLayout>
              </c:layout>
              <c:showPercent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'7'!$A$2:$F$2</c:f>
              <c:strCache>
                <c:ptCount val="6"/>
                <c:pt idx="0">
                  <c:v>ano</c:v>
                </c:pt>
                <c:pt idx="1">
                  <c:v>spíše ano</c:v>
                </c:pt>
                <c:pt idx="2">
                  <c:v>spíše ne</c:v>
                </c:pt>
                <c:pt idx="3">
                  <c:v>ne</c:v>
                </c:pt>
                <c:pt idx="4">
                  <c:v>nevím</c:v>
                </c:pt>
                <c:pt idx="5">
                  <c:v>bez odpovědi</c:v>
                </c:pt>
              </c:strCache>
            </c:strRef>
          </c:cat>
          <c:val>
            <c:numRef>
              <c:f>'7'!$A$3:$F$3</c:f>
              <c:numCache>
                <c:formatCode>General</c:formatCode>
                <c:ptCount val="6"/>
                <c:pt idx="0">
                  <c:v>4</c:v>
                </c:pt>
                <c:pt idx="1">
                  <c:v>13</c:v>
                </c:pt>
                <c:pt idx="2">
                  <c:v>3</c:v>
                </c:pt>
                <c:pt idx="3">
                  <c:v>3</c:v>
                </c:pt>
                <c:pt idx="5">
                  <c:v>1</c:v>
                </c:pt>
              </c:numCache>
            </c:numRef>
          </c:val>
        </c:ser>
      </c:pie3DChart>
      <c:spPr>
        <a:noFill/>
        <a:ln w="25400">
          <a:noFill/>
        </a:ln>
      </c:spPr>
    </c:plotArea>
    <c:legend>
      <c:legendPos val="r"/>
      <c:layout>
        <c:manualLayout>
          <c:xMode val="edge"/>
          <c:yMode val="edge"/>
          <c:x val="0.76177587342219799"/>
          <c:y val="0.39703857087068811"/>
          <c:w val="0.15447179000220992"/>
          <c:h val="0.37795372465993238"/>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1" i="0" u="none" strike="noStrike" baseline="0">
                <a:solidFill>
                  <a:srgbClr val="000000"/>
                </a:solidFill>
                <a:latin typeface="Calibri"/>
                <a:ea typeface="Calibri"/>
                <a:cs typeface="Calibri"/>
              </a:defRPr>
            </a:pPr>
            <a:r>
              <a:rPr lang="cs-CZ" sz="1100"/>
              <a:t>Jste spokojeni s bezpečnostní situací Vaší obci?</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'23'!$A$2:$F$2</c:f>
              <c:strCache>
                <c:ptCount val="6"/>
                <c:pt idx="0">
                  <c:v>ano</c:v>
                </c:pt>
                <c:pt idx="1">
                  <c:v>spíše ano</c:v>
                </c:pt>
                <c:pt idx="2">
                  <c:v>spíše ne </c:v>
                </c:pt>
                <c:pt idx="3">
                  <c:v>ne</c:v>
                </c:pt>
                <c:pt idx="4">
                  <c:v>bez odpovědi</c:v>
                </c:pt>
                <c:pt idx="5">
                  <c:v>nevím</c:v>
                </c:pt>
              </c:strCache>
            </c:strRef>
          </c:cat>
          <c:val>
            <c:numRef>
              <c:f>'23'!$A$3:$F$3</c:f>
              <c:numCache>
                <c:formatCode>General</c:formatCode>
                <c:ptCount val="6"/>
                <c:pt idx="0">
                  <c:v>27</c:v>
                </c:pt>
                <c:pt idx="1">
                  <c:v>50</c:v>
                </c:pt>
                <c:pt idx="2">
                  <c:v>15</c:v>
                </c:pt>
                <c:pt idx="3">
                  <c:v>8</c:v>
                </c:pt>
                <c:pt idx="4">
                  <c:v>9</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b="1" i="0" u="none" strike="noStrike" baseline="0">
                <a:solidFill>
                  <a:srgbClr val="000000"/>
                </a:solidFill>
                <a:latin typeface="Calibri"/>
                <a:ea typeface="Calibri"/>
                <a:cs typeface="Calibri"/>
              </a:defRPr>
            </a:pPr>
            <a:r>
              <a:rPr lang="cs-CZ" sz="1100"/>
              <a:t>Jste spokojeni s bezpečnostní situací ve Vaší obci?</a:t>
            </a:r>
          </a:p>
        </c:rich>
      </c:tx>
      <c:layout>
        <c:manualLayout>
          <c:xMode val="edge"/>
          <c:yMode val="edge"/>
          <c:x val="0.13509752253190579"/>
          <c:y val="2.7491448252886082E-2"/>
        </c:manualLayout>
      </c:layout>
      <c:spPr>
        <a:noFill/>
        <a:ln w="25400">
          <a:noFill/>
        </a:ln>
      </c:spPr>
    </c:title>
    <c:view3D>
      <c:rotX val="30"/>
      <c:perspective val="0"/>
    </c:view3D>
    <c:plotArea>
      <c:layout>
        <c:manualLayout>
          <c:layoutTarget val="inner"/>
          <c:xMode val="edge"/>
          <c:yMode val="edge"/>
          <c:x val="5.1475624559147913E-2"/>
          <c:y val="0.31173444928376137"/>
          <c:w val="0.63079659232943786"/>
          <c:h val="0.64671809221145993"/>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3"/>
              <c:layout>
                <c:manualLayout>
                  <c:x val="4.8344512491494046E-2"/>
                  <c:y val="3.2180530506312414E-2"/>
                </c:manualLayout>
              </c:layout>
              <c:showPercent val="1"/>
            </c:dLbl>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'4.19'!$A$2:$F$2</c:f>
              <c:strCache>
                <c:ptCount val="6"/>
                <c:pt idx="0">
                  <c:v>ano</c:v>
                </c:pt>
                <c:pt idx="1">
                  <c:v>spíše ano</c:v>
                </c:pt>
                <c:pt idx="2">
                  <c:v>spíše ne</c:v>
                </c:pt>
                <c:pt idx="3">
                  <c:v>ne</c:v>
                </c:pt>
                <c:pt idx="4">
                  <c:v>nevím</c:v>
                </c:pt>
                <c:pt idx="5">
                  <c:v>bez odpovědi</c:v>
                </c:pt>
              </c:strCache>
            </c:strRef>
          </c:cat>
          <c:val>
            <c:numRef>
              <c:f>'4.19'!$A$3:$F$3</c:f>
              <c:numCache>
                <c:formatCode>General</c:formatCode>
                <c:ptCount val="6"/>
                <c:pt idx="0">
                  <c:v>5</c:v>
                </c:pt>
                <c:pt idx="1">
                  <c:v>11</c:v>
                </c:pt>
                <c:pt idx="2">
                  <c:v>7</c:v>
                </c:pt>
                <c:pt idx="3">
                  <c:v>1</c:v>
                </c:pt>
              </c:numCache>
            </c:numRef>
          </c:val>
        </c:ser>
      </c:pie3DChart>
      <c:spPr>
        <a:noFill/>
        <a:ln w="25400">
          <a:noFill/>
        </a:ln>
      </c:spPr>
    </c:plotArea>
    <c:legend>
      <c:legendPos val="r"/>
      <c:layout>
        <c:manualLayout>
          <c:xMode val="edge"/>
          <c:yMode val="edge"/>
          <c:x val="0.69967885327466195"/>
          <c:y val="0.26566254637164782"/>
          <c:w val="0.2652572973832818"/>
          <c:h val="0.7332084048153199"/>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turistický ruch podle Vás přínos pro rozvoj obce?</a:t>
            </a:r>
          </a:p>
        </c:rich>
      </c:tx>
      <c:layout>
        <c:manualLayout>
          <c:xMode val="edge"/>
          <c:yMode val="edge"/>
          <c:x val="0.14452524334935443"/>
          <c:y val="2.7491362635314771E-2"/>
        </c:manualLayout>
      </c:layout>
      <c:spPr>
        <a:noFill/>
        <a:ln w="25400">
          <a:noFill/>
        </a:ln>
      </c:spPr>
    </c:title>
    <c:view3D>
      <c:rotX val="30"/>
      <c:perspective val="0"/>
    </c:view3D>
    <c:plotArea>
      <c:layout>
        <c:manualLayout>
          <c:layoutTarget val="inner"/>
          <c:xMode val="edge"/>
          <c:yMode val="edge"/>
          <c:x val="7.8584142057050388E-2"/>
          <c:y val="0.36420802794253032"/>
          <c:w val="0.49014504240102125"/>
          <c:h val="0.50363883580559365"/>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'4.14'!$A$2:$F$2</c:f>
              <c:strCache>
                <c:ptCount val="6"/>
                <c:pt idx="0">
                  <c:v>ano</c:v>
                </c:pt>
                <c:pt idx="1">
                  <c:v>spíše ano</c:v>
                </c:pt>
                <c:pt idx="2">
                  <c:v>spíše ne</c:v>
                </c:pt>
                <c:pt idx="3">
                  <c:v>ne</c:v>
                </c:pt>
                <c:pt idx="4">
                  <c:v>nevím</c:v>
                </c:pt>
                <c:pt idx="5">
                  <c:v>bez odpovědi</c:v>
                </c:pt>
              </c:strCache>
            </c:strRef>
          </c:cat>
          <c:val>
            <c:numRef>
              <c:f>'4.14'!$A$3:$F$3</c:f>
              <c:numCache>
                <c:formatCode>General</c:formatCode>
                <c:ptCount val="6"/>
                <c:pt idx="0">
                  <c:v>5</c:v>
                </c:pt>
                <c:pt idx="1">
                  <c:v>5</c:v>
                </c:pt>
                <c:pt idx="2">
                  <c:v>10</c:v>
                </c:pt>
                <c:pt idx="3">
                  <c:v>4</c:v>
                </c:pt>
              </c:numCache>
            </c:numRef>
          </c:val>
        </c:ser>
      </c:pie3DChart>
      <c:spPr>
        <a:noFill/>
        <a:ln w="25400">
          <a:noFill/>
        </a:ln>
      </c:spPr>
    </c:plotArea>
    <c:legend>
      <c:legendPos val="r"/>
      <c:layout>
        <c:manualLayout>
          <c:xMode val="edge"/>
          <c:yMode val="edge"/>
          <c:x val="0.72915167124335456"/>
          <c:y val="0.40486008343141239"/>
          <c:w val="0.19791706932997521"/>
          <c:h val="0.49484702147437942"/>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100"/>
              <a:t>Je turistický ruch podle Vás přínos pro rozvoj obce?</a:t>
            </a:r>
          </a:p>
        </c:rich>
      </c:tx>
    </c:title>
    <c:view3D>
      <c:rotX val="30"/>
      <c:perspective val="30"/>
    </c:view3D>
    <c:plotArea>
      <c:layout/>
      <c:pie3DChart>
        <c:varyColors val="1"/>
        <c:ser>
          <c:idx val="0"/>
          <c:order val="0"/>
          <c:dLbls>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'17'!$A$2:$F$2</c:f>
              <c:strCache>
                <c:ptCount val="6"/>
                <c:pt idx="0">
                  <c:v>ano</c:v>
                </c:pt>
                <c:pt idx="1">
                  <c:v>spíše ano</c:v>
                </c:pt>
                <c:pt idx="2">
                  <c:v>spíše ne</c:v>
                </c:pt>
                <c:pt idx="3">
                  <c:v>ne</c:v>
                </c:pt>
                <c:pt idx="4">
                  <c:v>bez odpovědi</c:v>
                </c:pt>
                <c:pt idx="5">
                  <c:v>nevím</c:v>
                </c:pt>
              </c:strCache>
            </c:strRef>
          </c:cat>
          <c:val>
            <c:numRef>
              <c:f>'17'!$A$3:$F$3</c:f>
              <c:numCache>
                <c:formatCode>General</c:formatCode>
                <c:ptCount val="6"/>
                <c:pt idx="0">
                  <c:v>35</c:v>
                </c:pt>
                <c:pt idx="1">
                  <c:v>26</c:v>
                </c:pt>
                <c:pt idx="2">
                  <c:v>25</c:v>
                </c:pt>
                <c:pt idx="3">
                  <c:v>17</c:v>
                </c:pt>
                <c:pt idx="4">
                  <c:v>6</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 Jaké aktivity v oblasti cestovního ruchu byste chtěli podporovat? (zástupci obcí)</a:t>
            </a:r>
          </a:p>
        </c:rich>
      </c:tx>
      <c:layout>
        <c:manualLayout>
          <c:xMode val="edge"/>
          <c:yMode val="edge"/>
          <c:x val="0.12804460284793082"/>
          <c:y val="2.7491441960766052E-2"/>
        </c:manualLayout>
      </c:layout>
      <c:spPr>
        <a:noFill/>
        <a:ln w="25400">
          <a:noFill/>
        </a:ln>
      </c:spPr>
    </c:title>
    <c:view3D>
      <c:rotX val="30"/>
      <c:perspective val="0"/>
    </c:view3D>
    <c:plotArea>
      <c:layout>
        <c:manualLayout>
          <c:layoutTarget val="inner"/>
          <c:xMode val="edge"/>
          <c:yMode val="edge"/>
          <c:x val="5.4347288766785802E-2"/>
          <c:y val="0.27327685911838978"/>
          <c:w val="0.54799272870757187"/>
          <c:h val="0.56654098770744288"/>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Pt>
            <c:idx val="6"/>
            <c:spPr>
              <a:solidFill>
                <a:srgbClr val="93A9CF"/>
              </a:solidFill>
              <a:ln w="25400">
                <a:noFill/>
              </a:ln>
            </c:spPr>
          </c:dPt>
          <c:dPt>
            <c:idx val="7"/>
            <c:spPr>
              <a:solidFill>
                <a:srgbClr val="D19392"/>
              </a:solidFill>
              <a:ln w="25400">
                <a:noFill/>
              </a:ln>
            </c:spPr>
          </c:dPt>
          <c:dPt>
            <c:idx val="8"/>
            <c:spPr>
              <a:solidFill>
                <a:srgbClr val="B9CD96"/>
              </a:solidFill>
              <a:ln w="25400">
                <a:noFill/>
              </a:ln>
            </c:spPr>
          </c:dPt>
          <c:dLbls>
            <c:dLbl>
              <c:idx val="8"/>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'4.15'!$A$2:$I$2</c:f>
              <c:strCache>
                <c:ptCount val="9"/>
                <c:pt idx="0">
                  <c:v>Výstavba ubyt. a strav. zařízení</c:v>
                </c:pt>
                <c:pt idx="1">
                  <c:v>Výstavba cyklo stezek</c:v>
                </c:pt>
                <c:pt idx="2">
                  <c:v>Výstavba naučných stezek</c:v>
                </c:pt>
                <c:pt idx="3">
                  <c:v>Pořádání akcí, závodů</c:v>
                </c:pt>
                <c:pt idx="4">
                  <c:v>Opravy památek, pamětihodností </c:v>
                </c:pt>
                <c:pt idx="5">
                  <c:v>Podpora tradičních  řemesel</c:v>
                </c:pt>
                <c:pt idx="6">
                  <c:v>Výstavba rozhleden</c:v>
                </c:pt>
                <c:pt idx="7">
                  <c:v>Propagace cestovního ruchu</c:v>
                </c:pt>
                <c:pt idx="8">
                  <c:v>Služby pro turisty</c:v>
                </c:pt>
              </c:strCache>
            </c:strRef>
          </c:cat>
          <c:val>
            <c:numRef>
              <c:f>'4.15'!$A$3:$I$3</c:f>
              <c:numCache>
                <c:formatCode>General</c:formatCode>
                <c:ptCount val="9"/>
                <c:pt idx="0">
                  <c:v>4</c:v>
                </c:pt>
                <c:pt idx="1">
                  <c:v>19</c:v>
                </c:pt>
                <c:pt idx="2">
                  <c:v>8</c:v>
                </c:pt>
                <c:pt idx="3">
                  <c:v>7</c:v>
                </c:pt>
                <c:pt idx="4">
                  <c:v>15</c:v>
                </c:pt>
                <c:pt idx="5">
                  <c:v>7</c:v>
                </c:pt>
                <c:pt idx="6">
                  <c:v>3</c:v>
                </c:pt>
                <c:pt idx="7">
                  <c:v>8</c:v>
                </c:pt>
              </c:numCache>
            </c:numRef>
          </c:val>
        </c:ser>
      </c:pie3DChart>
      <c:spPr>
        <a:noFill/>
        <a:ln w="25400">
          <a:noFill/>
        </a:ln>
      </c:spPr>
    </c:plotArea>
    <c:legend>
      <c:legendPos val="r"/>
      <c:layout>
        <c:manualLayout>
          <c:xMode val="edge"/>
          <c:yMode val="edge"/>
          <c:x val="0.62976702676358276"/>
          <c:y val="0.24037856544363517"/>
          <c:w val="0.33958402421880868"/>
          <c:h val="0.6907239674746547"/>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a:t>Jaké aktivity v oblasti cestovního ruchu by měli být v obci podporovány? (pohled obyvatel)</a:t>
            </a:r>
          </a:p>
        </c:rich>
      </c:tx>
    </c:title>
    <c:view3D>
      <c:rotX val="30"/>
      <c:perspective val="30"/>
    </c:view3D>
    <c:plotArea>
      <c:layout/>
      <c:pie3DChart>
        <c:varyColors val="1"/>
        <c:ser>
          <c:idx val="0"/>
          <c:order val="0"/>
          <c:dLbls>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'18'!$A$2:$I$2</c:f>
              <c:strCache>
                <c:ptCount val="9"/>
                <c:pt idx="0">
                  <c:v>výstavba ubytovacích a stravovacích zařízení</c:v>
                </c:pt>
                <c:pt idx="1">
                  <c:v>výstavba cyklostezek </c:v>
                </c:pt>
                <c:pt idx="2">
                  <c:v>pořádání akcí, závdodů </c:v>
                </c:pt>
                <c:pt idx="3">
                  <c:v>podpora tradičních řemesel</c:v>
                </c:pt>
                <c:pt idx="4">
                  <c:v>propagace cestovního ruchu</c:v>
                </c:pt>
                <c:pt idx="5">
                  <c:v>služba pro turisty</c:v>
                </c:pt>
                <c:pt idx="6">
                  <c:v>výstavba naučných stezek</c:v>
                </c:pt>
                <c:pt idx="7">
                  <c:v>opravy památek, pamětihodností</c:v>
                </c:pt>
                <c:pt idx="8">
                  <c:v>výstavba rozhleden</c:v>
                </c:pt>
              </c:strCache>
            </c:strRef>
          </c:cat>
          <c:val>
            <c:numRef>
              <c:f>'18'!$A$3:$I$3</c:f>
              <c:numCache>
                <c:formatCode>General</c:formatCode>
                <c:ptCount val="9"/>
                <c:pt idx="0">
                  <c:v>14</c:v>
                </c:pt>
                <c:pt idx="1">
                  <c:v>51</c:v>
                </c:pt>
                <c:pt idx="2">
                  <c:v>39</c:v>
                </c:pt>
                <c:pt idx="3">
                  <c:v>32</c:v>
                </c:pt>
                <c:pt idx="4">
                  <c:v>26</c:v>
                </c:pt>
                <c:pt idx="5">
                  <c:v>25</c:v>
                </c:pt>
                <c:pt idx="6">
                  <c:v>25</c:v>
                </c:pt>
                <c:pt idx="7">
                  <c:v>24</c:v>
                </c:pt>
                <c:pt idx="8">
                  <c:v>9</c:v>
                </c:pt>
              </c:numCache>
            </c:numRef>
          </c:val>
        </c:ser>
        <c:dLbls>
          <c:showPercent val="1"/>
        </c:dLbls>
      </c:pie3DChart>
      <c:spPr>
        <a:noFill/>
        <a:ln w="25400">
          <a:noFill/>
        </a:ln>
      </c:spPr>
    </c:plotArea>
    <c:legend>
      <c:legendPos val="r"/>
      <c:layout>
        <c:manualLayout>
          <c:xMode val="edge"/>
          <c:yMode val="edge"/>
          <c:x val="0.59836426696662315"/>
          <c:y val="0.19265413692358527"/>
          <c:w val="0.39943114749545394"/>
          <c:h val="0.80734586307641365"/>
        </c:manualLayout>
      </c:layout>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Jste spokojeni s dopravní obslužností Vaší obce?</a:t>
            </a:r>
          </a:p>
        </c:rich>
      </c:tx>
      <c:layout>
        <c:manualLayout>
          <c:xMode val="edge"/>
          <c:yMode val="edge"/>
          <c:x val="0.1916670566142917"/>
          <c:y val="2.749150119302109E-2"/>
        </c:manualLayout>
      </c:layout>
      <c:spPr>
        <a:noFill/>
        <a:ln w="25400">
          <a:noFill/>
        </a:ln>
      </c:spPr>
    </c:title>
    <c:view3D>
      <c:rotX val="30"/>
      <c:perspective val="0"/>
    </c:view3D>
    <c:plotArea>
      <c:layout>
        <c:manualLayout>
          <c:layoutTarget val="inner"/>
          <c:xMode val="edge"/>
          <c:yMode val="edge"/>
          <c:x val="3.1392957431540532E-2"/>
          <c:y val="0.29946420664422196"/>
          <c:w val="0.598407171836004"/>
          <c:h val="0.61462824374556779"/>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'4.2'!$A$2:$F$2</c:f>
              <c:strCache>
                <c:ptCount val="6"/>
                <c:pt idx="0">
                  <c:v>ano</c:v>
                </c:pt>
                <c:pt idx="1">
                  <c:v>spíše ano</c:v>
                </c:pt>
                <c:pt idx="2">
                  <c:v>spíše ne</c:v>
                </c:pt>
                <c:pt idx="3">
                  <c:v>ne</c:v>
                </c:pt>
                <c:pt idx="4">
                  <c:v>nevím</c:v>
                </c:pt>
                <c:pt idx="5">
                  <c:v>bez odpovědi</c:v>
                </c:pt>
              </c:strCache>
            </c:strRef>
          </c:cat>
          <c:val>
            <c:numRef>
              <c:f>'4.2'!$A$3:$F$3</c:f>
              <c:numCache>
                <c:formatCode>General</c:formatCode>
                <c:ptCount val="6"/>
                <c:pt idx="0">
                  <c:v>6</c:v>
                </c:pt>
                <c:pt idx="1">
                  <c:v>14</c:v>
                </c:pt>
                <c:pt idx="2">
                  <c:v>2</c:v>
                </c:pt>
                <c:pt idx="3">
                  <c:v>2</c:v>
                </c:pt>
              </c:numCache>
            </c:numRef>
          </c:val>
        </c:ser>
      </c:pie3DChart>
      <c:spPr>
        <a:noFill/>
        <a:ln w="25400">
          <a:noFill/>
        </a:ln>
      </c:spPr>
    </c:plotArea>
    <c:legend>
      <c:legendPos val="r"/>
      <c:layout>
        <c:manualLayout>
          <c:xMode val="edge"/>
          <c:yMode val="edge"/>
          <c:x val="0.68553265643803185"/>
          <c:y val="0.18891482767876774"/>
          <c:w val="0.30966921719652435"/>
          <c:h val="0.79184392259575964"/>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Jste spokojeni s dopravní obslužností Vaší obce?</a:t>
            </a:r>
          </a:p>
        </c:rich>
      </c:tx>
    </c:title>
    <c:view3D>
      <c:rotX val="30"/>
      <c:perspective val="30"/>
    </c:view3D>
    <c:plotArea>
      <c:layout/>
      <c:pie3DChart>
        <c:varyColors val="1"/>
        <c:ser>
          <c:idx val="0"/>
          <c:order val="0"/>
          <c:dLbls>
            <c:dLbl>
              <c:idx val="4"/>
              <c:layout>
                <c:manualLayout>
                  <c:x val="4.0975247136921529E-2"/>
                  <c:y val="1.8382093142784807E-2"/>
                </c:manualLayout>
              </c:layout>
              <c:showPercent val="1"/>
            </c:dLbl>
            <c:dLbl>
              <c:idx val="5"/>
              <c:delete val="1"/>
            </c:dLbl>
            <c:txPr>
              <a:bodyPr/>
              <a:lstStyle/>
              <a:p>
                <a:pPr>
                  <a:defRPr sz="1000" b="0" i="0" u="none" strike="noStrike" baseline="0">
                    <a:solidFill>
                      <a:srgbClr val="000000"/>
                    </a:solidFill>
                    <a:latin typeface="Calibri"/>
                    <a:ea typeface="Calibri"/>
                    <a:cs typeface="Calibri"/>
                  </a:defRPr>
                </a:pPr>
                <a:endParaRPr lang="cs-CZ"/>
              </a:p>
            </c:txPr>
            <c:showPercent val="1"/>
            <c:showLeaderLines val="1"/>
          </c:dLbls>
          <c:cat>
            <c:strRef>
              <c:f>'12'!$A$2:$F$2</c:f>
              <c:strCache>
                <c:ptCount val="6"/>
                <c:pt idx="0">
                  <c:v>ano</c:v>
                </c:pt>
                <c:pt idx="1">
                  <c:v>spíše ano</c:v>
                </c:pt>
                <c:pt idx="2">
                  <c:v>spíše ne</c:v>
                </c:pt>
                <c:pt idx="3">
                  <c:v>ne</c:v>
                </c:pt>
                <c:pt idx="4">
                  <c:v>bez odpovědi</c:v>
                </c:pt>
                <c:pt idx="5">
                  <c:v>nevím</c:v>
                </c:pt>
              </c:strCache>
            </c:strRef>
          </c:cat>
          <c:val>
            <c:numRef>
              <c:f>'12'!$A$3:$F$3</c:f>
              <c:numCache>
                <c:formatCode>General</c:formatCode>
                <c:ptCount val="6"/>
                <c:pt idx="0">
                  <c:v>35</c:v>
                </c:pt>
                <c:pt idx="1">
                  <c:v>31</c:v>
                </c:pt>
                <c:pt idx="2">
                  <c:v>17</c:v>
                </c:pt>
                <c:pt idx="3">
                  <c:v>21</c:v>
                </c:pt>
                <c:pt idx="4">
                  <c:v>5</c:v>
                </c:pt>
                <c:pt idx="5">
                  <c:v>0</c:v>
                </c:pt>
              </c:numCache>
            </c:numRef>
          </c:val>
        </c:ser>
        <c:dLbls>
          <c:showPercent val="1"/>
        </c:dLbls>
      </c:pie3DChart>
      <c:spPr>
        <a:noFill/>
        <a:ln w="25400">
          <a:noFill/>
        </a:ln>
      </c:spPr>
    </c:plotArea>
    <c:legend>
      <c:legendPos val="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800" b="1" i="0" u="none" strike="noStrike" baseline="0">
                <a:solidFill>
                  <a:srgbClr val="000000"/>
                </a:solidFill>
                <a:latin typeface="Calibri"/>
                <a:ea typeface="Calibri"/>
                <a:cs typeface="Calibri"/>
              </a:defRPr>
            </a:pPr>
            <a:r>
              <a:rPr lang="cs-CZ" sz="1200"/>
              <a:t>Shledáváte stav místních komunikací v obci jako vyhovující?</a:t>
            </a:r>
          </a:p>
        </c:rich>
      </c:tx>
      <c:layout>
        <c:manualLayout>
          <c:xMode val="edge"/>
          <c:yMode val="edge"/>
          <c:x val="0.14726272549965497"/>
          <c:y val="2.7491362635314771E-2"/>
        </c:manualLayout>
      </c:layout>
      <c:spPr>
        <a:noFill/>
        <a:ln w="25400">
          <a:noFill/>
        </a:ln>
      </c:spPr>
    </c:title>
    <c:view3D>
      <c:rotX val="30"/>
      <c:perspective val="0"/>
    </c:view3D>
    <c:plotArea>
      <c:layout>
        <c:manualLayout>
          <c:layoutTarget val="inner"/>
          <c:xMode val="edge"/>
          <c:yMode val="edge"/>
          <c:x val="8.9687950204229247E-2"/>
          <c:y val="0.35495891061419982"/>
          <c:w val="0.54288813110012724"/>
          <c:h val="0.55913353977557423"/>
        </c:manualLayout>
      </c:layout>
      <c:pie3DChart>
        <c:varyColors val="1"/>
        <c:ser>
          <c:idx val="0"/>
          <c:order val="0"/>
          <c:spPr>
            <a:solidFill>
              <a:srgbClr val="4F81BD"/>
            </a:solidFill>
            <a:ln w="25400">
              <a:noFill/>
            </a:ln>
          </c:spPr>
          <c:dPt>
            <c:idx val="0"/>
            <c:spPr>
              <a:solidFill>
                <a:srgbClr val="4572A7"/>
              </a:solidFill>
              <a:ln w="25400">
                <a:noFill/>
              </a:ln>
            </c:spPr>
          </c:dPt>
          <c:dPt>
            <c:idx val="1"/>
            <c:spPr>
              <a:solidFill>
                <a:srgbClr val="AA4643"/>
              </a:solidFill>
              <a:ln w="25400">
                <a:noFill/>
              </a:ln>
            </c:spPr>
          </c:dPt>
          <c:dPt>
            <c:idx val="2"/>
            <c:spPr>
              <a:solidFill>
                <a:srgbClr val="89A54E"/>
              </a:solidFill>
              <a:ln w="25400">
                <a:noFill/>
              </a:ln>
            </c:spPr>
          </c:dPt>
          <c:dPt>
            <c:idx val="3"/>
            <c:spPr>
              <a:solidFill>
                <a:srgbClr val="71588F"/>
              </a:solidFill>
              <a:ln w="25400">
                <a:noFill/>
              </a:ln>
            </c:spPr>
          </c:dPt>
          <c:dPt>
            <c:idx val="4"/>
            <c:spPr>
              <a:solidFill>
                <a:srgbClr val="4198AF"/>
              </a:solidFill>
              <a:ln w="25400">
                <a:noFill/>
              </a:ln>
            </c:spPr>
          </c:dPt>
          <c:dPt>
            <c:idx val="5"/>
            <c:spPr>
              <a:solidFill>
                <a:srgbClr val="DB843D"/>
              </a:solidFill>
              <a:ln w="25400">
                <a:noFill/>
              </a:ln>
            </c:spPr>
          </c:dPt>
          <c:dLbls>
            <c:dLbl>
              <c:idx val="4"/>
              <c:delete val="1"/>
            </c:dLbl>
            <c:dLbl>
              <c:idx val="5"/>
              <c:delete val="1"/>
            </c:dLbl>
            <c:spPr>
              <a:noFill/>
              <a:ln w="25400">
                <a:noFill/>
              </a:ln>
            </c:spPr>
            <c:txPr>
              <a:bodyPr/>
              <a:lstStyle/>
              <a:p>
                <a:pPr>
                  <a:defRPr sz="1000" b="0" i="0" u="none" strike="noStrike" baseline="0">
                    <a:solidFill>
                      <a:srgbClr val="000000"/>
                    </a:solidFill>
                    <a:latin typeface="Calibri"/>
                    <a:ea typeface="Calibri"/>
                    <a:cs typeface="Calibri"/>
                  </a:defRPr>
                </a:pPr>
                <a:endParaRPr lang="cs-CZ"/>
              </a:p>
            </c:txPr>
            <c:showPercent val="1"/>
          </c:dLbls>
          <c:cat>
            <c:strRef>
              <c:f>'4.11'!$A$2:$F$2</c:f>
              <c:strCache>
                <c:ptCount val="6"/>
                <c:pt idx="0">
                  <c:v>ano</c:v>
                </c:pt>
                <c:pt idx="1">
                  <c:v>spíše ano</c:v>
                </c:pt>
                <c:pt idx="2">
                  <c:v>spíše ne</c:v>
                </c:pt>
                <c:pt idx="3">
                  <c:v>ne</c:v>
                </c:pt>
                <c:pt idx="4">
                  <c:v>nevím</c:v>
                </c:pt>
                <c:pt idx="5">
                  <c:v>bez odpovědi</c:v>
                </c:pt>
              </c:strCache>
            </c:strRef>
          </c:cat>
          <c:val>
            <c:numRef>
              <c:f>'4.11'!$A$3:$F$3</c:f>
              <c:numCache>
                <c:formatCode>General</c:formatCode>
                <c:ptCount val="6"/>
                <c:pt idx="0">
                  <c:v>3</c:v>
                </c:pt>
                <c:pt idx="1">
                  <c:v>12</c:v>
                </c:pt>
                <c:pt idx="2">
                  <c:v>5</c:v>
                </c:pt>
                <c:pt idx="3">
                  <c:v>4</c:v>
                </c:pt>
              </c:numCache>
            </c:numRef>
          </c:val>
        </c:ser>
      </c:pie3DChart>
      <c:spPr>
        <a:noFill/>
        <a:ln w="25400">
          <a:noFill/>
        </a:ln>
      </c:spPr>
    </c:plotArea>
    <c:legend>
      <c:legendPos val="r"/>
      <c:layout>
        <c:manualLayout>
          <c:xMode val="edge"/>
          <c:yMode val="edge"/>
          <c:x val="0.69120095968332695"/>
          <c:y val="0.20098825631722902"/>
          <c:w val="0.28711486069351111"/>
          <c:h val="0.79901174368277461"/>
        </c:manualLayout>
      </c:layout>
      <c:spPr>
        <a:noFill/>
        <a:ln w="25400">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solidFill>
      <a:srgbClr val="FFFFFF"/>
    </a:solidFill>
    <a:ln w="3175">
      <a:solidFill>
        <a:srgbClr val="80808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32A1C-5B43-4BB8-BD4A-AFB047FF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234</Pages>
  <Words>49750</Words>
  <Characters>293526</Characters>
  <Application>Microsoft Office Word</Application>
  <DocSecurity>0</DocSecurity>
  <Lines>2446</Lines>
  <Paragraphs>685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cp:lastPrinted>2014-08-29T08:54:00Z</cp:lastPrinted>
  <dcterms:created xsi:type="dcterms:W3CDTF">2015-09-14T10:45:00Z</dcterms:created>
  <dcterms:modified xsi:type="dcterms:W3CDTF">2015-09-14T13:06:00Z</dcterms:modified>
</cp:coreProperties>
</file>